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C7A06" w14:textId="77777777" w:rsidR="00DE43E7" w:rsidRDefault="00DE43E7" w:rsidP="000E504B">
      <w:pPr>
        <w:spacing w:after="120"/>
        <w:jc w:val="center"/>
        <w:rPr>
          <w:rFonts w:asciiTheme="minorHAnsi" w:hAnsiTheme="minorHAnsi"/>
          <w:sz w:val="24"/>
          <w:szCs w:val="24"/>
        </w:rPr>
      </w:pPr>
      <w:bookmarkStart w:id="0" w:name="_GoBack"/>
      <w:bookmarkEnd w:id="0"/>
      <w:r>
        <w:rPr>
          <w:rFonts w:ascii="Calibri" w:eastAsia="Calibri" w:hAnsi="Calibri"/>
          <w:b/>
          <w:noProof/>
          <w:sz w:val="28"/>
          <w:szCs w:val="28"/>
        </w:rPr>
        <w:drawing>
          <wp:inline distT="0" distB="0" distL="0" distR="0" wp14:anchorId="7EDE1450" wp14:editId="397CC357">
            <wp:extent cx="2111517" cy="709930"/>
            <wp:effectExtent l="0" t="0" r="3175" b="0"/>
            <wp:docPr id="4" name="Picture 4" title="Virginia Board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PD Logo_Colors_Upd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4678" cy="710993"/>
                    </a:xfrm>
                    <a:prstGeom prst="rect">
                      <a:avLst/>
                    </a:prstGeom>
                  </pic:spPr>
                </pic:pic>
              </a:graphicData>
            </a:graphic>
          </wp:inline>
        </w:drawing>
      </w:r>
    </w:p>
    <w:p w14:paraId="55E1FC97" w14:textId="77777777" w:rsidR="000E504B" w:rsidRPr="000E504B" w:rsidRDefault="000E504B" w:rsidP="000E504B">
      <w:pPr>
        <w:spacing w:after="120"/>
        <w:jc w:val="center"/>
        <w:rPr>
          <w:rFonts w:ascii="Calibri" w:hAnsi="Calibri"/>
          <w:b/>
          <w:sz w:val="28"/>
          <w:szCs w:val="28"/>
        </w:rPr>
      </w:pPr>
      <w:r w:rsidRPr="000E504B">
        <w:rPr>
          <w:rFonts w:asciiTheme="minorHAnsi" w:hAnsiTheme="minorHAnsi"/>
          <w:b/>
          <w:sz w:val="28"/>
          <w:szCs w:val="28"/>
        </w:rPr>
        <w:t>PROCEDURES FOR REQUESTING EVENT SUPPORT</w:t>
      </w:r>
    </w:p>
    <w:p w14:paraId="5A4375D7" w14:textId="77777777" w:rsidR="007A6D3A" w:rsidRDefault="007A6D3A" w:rsidP="007A6D3A">
      <w:pPr>
        <w:rPr>
          <w:rFonts w:asciiTheme="minorHAnsi" w:hAnsiTheme="minorHAnsi"/>
          <w:b/>
          <w:sz w:val="24"/>
          <w:szCs w:val="24"/>
        </w:rPr>
      </w:pPr>
    </w:p>
    <w:p w14:paraId="66E575EC" w14:textId="725CE306" w:rsidR="007A6D3A" w:rsidRPr="000017EF" w:rsidRDefault="007A6D3A" w:rsidP="007A6D3A">
      <w:pPr>
        <w:rPr>
          <w:rFonts w:asciiTheme="minorHAnsi" w:hAnsiTheme="minorHAnsi" w:cs="Calibri"/>
          <w:sz w:val="24"/>
          <w:szCs w:val="24"/>
        </w:rPr>
      </w:pPr>
      <w:r w:rsidRPr="000017EF">
        <w:rPr>
          <w:rFonts w:asciiTheme="minorHAnsi" w:hAnsiTheme="minorHAnsi" w:cs="Calibri"/>
          <w:sz w:val="24"/>
          <w:szCs w:val="24"/>
        </w:rPr>
        <w:t>In order to achieve or move forward specific State Plan goals and objectives, the Virginia Board for People with Disabilities (“the Board”) may support an event/conference.  (Please see the B</w:t>
      </w:r>
      <w:r w:rsidR="00213D47">
        <w:rPr>
          <w:rFonts w:asciiTheme="minorHAnsi" w:hAnsiTheme="minorHAnsi" w:cs="Calibri"/>
          <w:sz w:val="24"/>
          <w:szCs w:val="24"/>
        </w:rPr>
        <w:t>oard’s State Plan, available</w:t>
      </w:r>
      <w:r>
        <w:rPr>
          <w:rFonts w:asciiTheme="minorHAnsi" w:hAnsiTheme="minorHAnsi" w:cs="Calibri"/>
          <w:sz w:val="24"/>
          <w:szCs w:val="24"/>
        </w:rPr>
        <w:t xml:space="preserve"> </w:t>
      </w:r>
      <w:hyperlink r:id="rId13" w:history="1">
        <w:r w:rsidR="008B0C05">
          <w:rPr>
            <w:rFonts w:asciiTheme="minorHAnsi" w:hAnsiTheme="minorHAnsi" w:cs="Calibri"/>
            <w:color w:val="0000FF"/>
            <w:sz w:val="24"/>
            <w:szCs w:val="24"/>
            <w:u w:val="single"/>
          </w:rPr>
          <w:t>here</w:t>
        </w:r>
      </w:hyperlink>
      <w:r w:rsidRPr="000017EF">
        <w:rPr>
          <w:rFonts w:asciiTheme="minorHAnsi" w:hAnsiTheme="minorHAnsi" w:cs="Calibri"/>
          <w:sz w:val="24"/>
          <w:szCs w:val="24"/>
        </w:rPr>
        <w:t xml:space="preserve">.  Applicants must identify at least one State Plan objective on the </w:t>
      </w:r>
      <w:r w:rsidRPr="000017EF">
        <w:rPr>
          <w:rFonts w:asciiTheme="minorHAnsi" w:hAnsiTheme="minorHAnsi" w:cs="Calibri"/>
          <w:b/>
          <w:sz w:val="24"/>
          <w:szCs w:val="24"/>
        </w:rPr>
        <w:t>Application for Event Support</w:t>
      </w:r>
      <w:r w:rsidRPr="000017EF">
        <w:rPr>
          <w:rFonts w:asciiTheme="minorHAnsi" w:hAnsiTheme="minorHAnsi" w:cs="Calibri"/>
          <w:sz w:val="24"/>
          <w:szCs w:val="24"/>
        </w:rPr>
        <w:t xml:space="preserve"> that the event or conference will support. </w:t>
      </w:r>
    </w:p>
    <w:p w14:paraId="0BE9C22B" w14:textId="77777777" w:rsidR="007A6D3A" w:rsidRPr="000017EF" w:rsidRDefault="007A6D3A" w:rsidP="007A6D3A">
      <w:pPr>
        <w:rPr>
          <w:rFonts w:asciiTheme="minorHAnsi" w:hAnsiTheme="minorHAnsi" w:cs="Calibri"/>
          <w:sz w:val="24"/>
          <w:szCs w:val="24"/>
        </w:rPr>
      </w:pPr>
    </w:p>
    <w:p w14:paraId="21CAA086" w14:textId="77777777" w:rsidR="007A6D3A" w:rsidRPr="000017EF" w:rsidRDefault="007A6D3A" w:rsidP="007A6D3A">
      <w:pPr>
        <w:rPr>
          <w:rFonts w:asciiTheme="minorHAnsi" w:hAnsiTheme="minorHAnsi" w:cs="Calibri"/>
          <w:sz w:val="24"/>
          <w:szCs w:val="24"/>
        </w:rPr>
      </w:pPr>
      <w:r w:rsidRPr="000017EF">
        <w:rPr>
          <w:rFonts w:asciiTheme="minorHAnsi" w:hAnsiTheme="minorHAnsi" w:cs="Calibri"/>
          <w:b/>
          <w:sz w:val="24"/>
          <w:szCs w:val="24"/>
        </w:rPr>
        <w:t>Eligibility:</w:t>
      </w:r>
      <w:r w:rsidRPr="000017EF">
        <w:rPr>
          <w:rFonts w:asciiTheme="minorHAnsi" w:hAnsiTheme="minorHAnsi" w:cs="Calibri"/>
          <w:sz w:val="24"/>
          <w:szCs w:val="24"/>
        </w:rPr>
        <w:t xml:space="preserve">  </w:t>
      </w:r>
    </w:p>
    <w:p w14:paraId="757CF14B" w14:textId="77777777" w:rsidR="007A6D3A" w:rsidRPr="000017EF" w:rsidRDefault="007A6D3A" w:rsidP="007A6D3A">
      <w:pPr>
        <w:numPr>
          <w:ilvl w:val="0"/>
          <w:numId w:val="17"/>
        </w:numPr>
        <w:spacing w:line="276" w:lineRule="auto"/>
        <w:contextualSpacing/>
        <w:rPr>
          <w:rFonts w:asciiTheme="minorHAnsi" w:hAnsiTheme="minorHAnsi" w:cs="Calibri"/>
          <w:sz w:val="24"/>
          <w:szCs w:val="24"/>
        </w:rPr>
      </w:pPr>
      <w:r w:rsidRPr="000017EF">
        <w:rPr>
          <w:rFonts w:asciiTheme="minorHAnsi" w:hAnsiTheme="minorHAnsi" w:cs="Calibri"/>
          <w:sz w:val="24"/>
          <w:szCs w:val="24"/>
        </w:rPr>
        <w:t>Applicants may be state or local agencies, other public agencies, institutions of higher education, 501(c)(3) non-profit organizations or for-profit organizations.</w:t>
      </w:r>
    </w:p>
    <w:p w14:paraId="5541C86D" w14:textId="77777777" w:rsidR="007A6D3A" w:rsidRPr="000017EF" w:rsidRDefault="007A6D3A" w:rsidP="007A6D3A">
      <w:pPr>
        <w:rPr>
          <w:rFonts w:asciiTheme="minorHAnsi" w:hAnsiTheme="minorHAnsi" w:cs="Calibri"/>
          <w:sz w:val="24"/>
          <w:szCs w:val="24"/>
        </w:rPr>
      </w:pPr>
    </w:p>
    <w:p w14:paraId="57B2D2F1" w14:textId="77777777" w:rsidR="007A6D3A" w:rsidRPr="000017EF" w:rsidRDefault="007A6D3A" w:rsidP="007A6D3A">
      <w:pPr>
        <w:rPr>
          <w:rFonts w:asciiTheme="minorHAnsi" w:hAnsiTheme="minorHAnsi" w:cs="Calibri"/>
          <w:b/>
          <w:sz w:val="24"/>
          <w:szCs w:val="24"/>
        </w:rPr>
      </w:pPr>
      <w:r w:rsidRPr="000017EF">
        <w:rPr>
          <w:rFonts w:asciiTheme="minorHAnsi" w:hAnsiTheme="minorHAnsi" w:cs="Calibri"/>
          <w:b/>
          <w:sz w:val="24"/>
          <w:szCs w:val="24"/>
        </w:rPr>
        <w:t>Funding Criteria:</w:t>
      </w:r>
    </w:p>
    <w:p w14:paraId="02533D1F" w14:textId="77777777" w:rsidR="007A6D3A" w:rsidRPr="000017EF" w:rsidRDefault="007A6D3A" w:rsidP="007A6D3A">
      <w:pPr>
        <w:numPr>
          <w:ilvl w:val="0"/>
          <w:numId w:val="18"/>
        </w:numPr>
        <w:spacing w:line="259" w:lineRule="auto"/>
        <w:contextualSpacing/>
        <w:rPr>
          <w:rFonts w:asciiTheme="minorHAnsi" w:hAnsiTheme="minorHAnsi" w:cs="Calibri"/>
          <w:sz w:val="24"/>
          <w:szCs w:val="24"/>
        </w:rPr>
      </w:pPr>
      <w:r w:rsidRPr="000017EF">
        <w:rPr>
          <w:rFonts w:asciiTheme="minorHAnsi" w:hAnsiTheme="minorHAnsi" w:cs="Calibri"/>
          <w:sz w:val="24"/>
          <w:szCs w:val="24"/>
        </w:rPr>
        <w:t>Applications must show direct support for a specific State Plan Objective (https://vaboard.org/reports.htm). The objective must be identified in the application, including a description of how the event addresses the objective.</w:t>
      </w:r>
    </w:p>
    <w:p w14:paraId="4E5C925F" w14:textId="77777777" w:rsidR="007A6D3A" w:rsidRPr="000017EF" w:rsidRDefault="007A6D3A" w:rsidP="007A6D3A">
      <w:pPr>
        <w:numPr>
          <w:ilvl w:val="0"/>
          <w:numId w:val="18"/>
        </w:numPr>
        <w:spacing w:line="276" w:lineRule="auto"/>
        <w:contextualSpacing/>
        <w:rPr>
          <w:rFonts w:asciiTheme="minorHAnsi" w:hAnsiTheme="minorHAnsi" w:cs="Calibri"/>
          <w:sz w:val="24"/>
          <w:szCs w:val="24"/>
        </w:rPr>
      </w:pPr>
      <w:r w:rsidRPr="000017EF">
        <w:rPr>
          <w:rFonts w:asciiTheme="minorHAnsi" w:hAnsiTheme="minorHAnsi" w:cs="Calibri"/>
          <w:sz w:val="24"/>
          <w:szCs w:val="24"/>
        </w:rPr>
        <w:t xml:space="preserve">The applicant must agree to provide outcome information to the Board within 2 months of the end of the event that is specific to the relevant state plan objective.  Outcome information may include: </w:t>
      </w:r>
    </w:p>
    <w:p w14:paraId="506824A0" w14:textId="4A779DFB" w:rsidR="007A6D3A" w:rsidRPr="000017EF" w:rsidRDefault="007A6D3A" w:rsidP="007A6D3A">
      <w:pPr>
        <w:numPr>
          <w:ilvl w:val="1"/>
          <w:numId w:val="18"/>
        </w:numPr>
        <w:spacing w:line="276" w:lineRule="auto"/>
        <w:contextualSpacing/>
        <w:rPr>
          <w:rFonts w:asciiTheme="minorHAnsi" w:hAnsiTheme="minorHAnsi" w:cs="Calibri"/>
          <w:sz w:val="24"/>
          <w:szCs w:val="24"/>
        </w:rPr>
      </w:pPr>
      <w:r w:rsidRPr="000017EF">
        <w:rPr>
          <w:rFonts w:asciiTheme="minorHAnsi" w:hAnsiTheme="minorHAnsi" w:cs="Calibri"/>
          <w:sz w:val="24"/>
          <w:szCs w:val="24"/>
        </w:rPr>
        <w:t xml:space="preserve">federal performance measures such as the number of individuals trained, participant satisfaction, and impact on participants’ advocacy levels (reported separately for people with disabilities and family members of people with disabilities). Please see </w:t>
      </w:r>
      <w:hyperlink r:id="rId14" w:history="1">
        <w:r w:rsidR="008B0C05">
          <w:rPr>
            <w:rFonts w:asciiTheme="minorHAnsi" w:hAnsiTheme="minorHAnsi" w:cs="Calibri"/>
            <w:color w:val="0000FF"/>
            <w:sz w:val="24"/>
            <w:szCs w:val="24"/>
            <w:u w:val="single"/>
          </w:rPr>
          <w:t>this link</w:t>
        </w:r>
      </w:hyperlink>
      <w:r w:rsidRPr="000017EF">
        <w:rPr>
          <w:rFonts w:asciiTheme="minorHAnsi" w:hAnsiTheme="minorHAnsi" w:cs="Calibri"/>
          <w:sz w:val="24"/>
          <w:szCs w:val="24"/>
        </w:rPr>
        <w:t xml:space="preserve"> for more information; and/or </w:t>
      </w:r>
    </w:p>
    <w:p w14:paraId="4651DE00" w14:textId="77777777" w:rsidR="007A6D3A" w:rsidRPr="000017EF" w:rsidRDefault="007A6D3A" w:rsidP="007A6D3A">
      <w:pPr>
        <w:numPr>
          <w:ilvl w:val="1"/>
          <w:numId w:val="18"/>
        </w:numPr>
        <w:spacing w:line="276" w:lineRule="auto"/>
        <w:contextualSpacing/>
        <w:rPr>
          <w:rFonts w:asciiTheme="minorHAnsi" w:hAnsiTheme="minorHAnsi" w:cs="Calibri"/>
          <w:sz w:val="24"/>
          <w:szCs w:val="24"/>
        </w:rPr>
      </w:pPr>
      <w:r w:rsidRPr="000017EF">
        <w:rPr>
          <w:rFonts w:asciiTheme="minorHAnsi" w:hAnsiTheme="minorHAnsi" w:cs="Calibri"/>
          <w:sz w:val="24"/>
          <w:szCs w:val="24"/>
        </w:rPr>
        <w:t>other agreed upon outcome measures such as the impact of the event on participants’ knowledge levels.</w:t>
      </w:r>
    </w:p>
    <w:p w14:paraId="4DBE719A" w14:textId="0AA84F0A" w:rsidR="000D4ACF" w:rsidRDefault="007A6D3A" w:rsidP="007A6D3A">
      <w:pPr>
        <w:numPr>
          <w:ilvl w:val="0"/>
          <w:numId w:val="18"/>
        </w:numPr>
        <w:spacing w:line="276" w:lineRule="auto"/>
        <w:contextualSpacing/>
        <w:rPr>
          <w:rFonts w:asciiTheme="minorHAnsi" w:hAnsiTheme="minorHAnsi"/>
          <w:sz w:val="24"/>
          <w:szCs w:val="24"/>
        </w:rPr>
      </w:pPr>
      <w:r w:rsidRPr="000017EF">
        <w:rPr>
          <w:rFonts w:asciiTheme="minorHAnsi" w:hAnsiTheme="minorHAnsi" w:cs="Calibri"/>
          <w:sz w:val="24"/>
          <w:szCs w:val="24"/>
        </w:rPr>
        <w:t xml:space="preserve">Applications for which the applicant has engaged Board staff as participants in the development of the event agenda prior to submitting the request for support will receive priority for funding.  Note, however, that Board involvement in planning, is </w:t>
      </w:r>
      <w:r w:rsidRPr="000017EF">
        <w:rPr>
          <w:rFonts w:asciiTheme="minorHAnsi" w:hAnsiTheme="minorHAnsi" w:cs="Calibri"/>
          <w:b/>
          <w:sz w:val="24"/>
          <w:szCs w:val="24"/>
        </w:rPr>
        <w:t>NOT</w:t>
      </w:r>
      <w:r w:rsidRPr="000017EF">
        <w:rPr>
          <w:rFonts w:asciiTheme="minorHAnsi" w:hAnsiTheme="minorHAnsi" w:cs="Calibri"/>
          <w:sz w:val="24"/>
          <w:szCs w:val="24"/>
        </w:rPr>
        <w:t xml:space="preserve"> a commitment for funding support.</w:t>
      </w:r>
      <w:r w:rsidRPr="000017EF">
        <w:rPr>
          <w:rFonts w:asciiTheme="minorHAnsi" w:hAnsiTheme="minorHAnsi"/>
          <w:sz w:val="24"/>
          <w:szCs w:val="24"/>
        </w:rPr>
        <w:t xml:space="preserve"> </w:t>
      </w:r>
    </w:p>
    <w:p w14:paraId="624EF8B6" w14:textId="44698AD1" w:rsidR="007A6D3A" w:rsidRPr="000017EF" w:rsidRDefault="000D4ACF" w:rsidP="000D4ACF">
      <w:pPr>
        <w:rPr>
          <w:rFonts w:asciiTheme="minorHAnsi" w:hAnsiTheme="minorHAnsi"/>
          <w:sz w:val="24"/>
          <w:szCs w:val="24"/>
        </w:rPr>
      </w:pPr>
      <w:r>
        <w:rPr>
          <w:rFonts w:asciiTheme="minorHAnsi" w:hAnsiTheme="minorHAnsi"/>
          <w:sz w:val="24"/>
          <w:szCs w:val="24"/>
        </w:rPr>
        <w:br w:type="page"/>
      </w:r>
    </w:p>
    <w:p w14:paraId="28E1ABBB" w14:textId="6DD425CA" w:rsidR="007A6D3A" w:rsidRPr="000017EF" w:rsidRDefault="007A6D3A" w:rsidP="007A6D3A">
      <w:pPr>
        <w:rPr>
          <w:rFonts w:asciiTheme="minorHAnsi" w:hAnsiTheme="minorHAnsi"/>
          <w:b/>
          <w:sz w:val="24"/>
          <w:szCs w:val="24"/>
        </w:rPr>
      </w:pPr>
      <w:r w:rsidRPr="000017EF">
        <w:rPr>
          <w:rFonts w:asciiTheme="minorHAnsi" w:hAnsiTheme="minorHAnsi"/>
          <w:b/>
          <w:sz w:val="24"/>
          <w:szCs w:val="24"/>
        </w:rPr>
        <w:lastRenderedPageBreak/>
        <w:t>What we fund:</w:t>
      </w:r>
    </w:p>
    <w:p w14:paraId="7485E4FF" w14:textId="77777777" w:rsidR="007A6D3A" w:rsidRPr="000017EF" w:rsidRDefault="007A6D3A" w:rsidP="007A6D3A">
      <w:pPr>
        <w:spacing w:line="276" w:lineRule="auto"/>
        <w:rPr>
          <w:rFonts w:asciiTheme="minorHAnsi" w:hAnsiTheme="minorHAnsi" w:cs="Calibri"/>
          <w:sz w:val="24"/>
          <w:szCs w:val="24"/>
        </w:rPr>
      </w:pPr>
      <w:r w:rsidRPr="000017EF">
        <w:rPr>
          <w:rFonts w:asciiTheme="minorHAnsi" w:hAnsiTheme="minorHAnsi"/>
          <w:sz w:val="24"/>
          <w:szCs w:val="24"/>
        </w:rPr>
        <w:t xml:space="preserve">The Board will consider funding events and conferences that are designed to promote systems change, capacity building, and policy/advocacy work consistent with the tenets of the DD Act.  The DD Act is designed to ensure development of person and family-centered, comprehensive </w:t>
      </w:r>
      <w:r w:rsidRPr="000017EF">
        <w:rPr>
          <w:rFonts w:asciiTheme="minorHAnsi" w:hAnsiTheme="minorHAnsi" w:cs="Calibri"/>
          <w:sz w:val="24"/>
          <w:szCs w:val="24"/>
        </w:rPr>
        <w:t>systems with a coordinated array of services, supports and other assistance that will enable people with developmental disabilities to achieve maximum independence, productivity and integration and inclusion in the community for individuals with DD and other disabilities.</w:t>
      </w:r>
    </w:p>
    <w:p w14:paraId="4FAEF017" w14:textId="77777777" w:rsidR="007A6D3A" w:rsidRPr="008D2E6D" w:rsidRDefault="007A6D3A" w:rsidP="007A6D3A">
      <w:pPr>
        <w:rPr>
          <w:rFonts w:asciiTheme="minorHAnsi" w:hAnsiTheme="minorHAnsi" w:cs="Calibri"/>
          <w:b/>
          <w:sz w:val="24"/>
          <w:szCs w:val="24"/>
        </w:rPr>
      </w:pPr>
    </w:p>
    <w:p w14:paraId="053D7A1A" w14:textId="77777777" w:rsidR="007A6D3A" w:rsidRPr="008D2E6D" w:rsidRDefault="007A6D3A" w:rsidP="007A6D3A">
      <w:pPr>
        <w:rPr>
          <w:rFonts w:asciiTheme="minorHAnsi" w:hAnsiTheme="minorHAnsi" w:cs="Calibri"/>
          <w:b/>
          <w:sz w:val="24"/>
          <w:szCs w:val="24"/>
        </w:rPr>
      </w:pPr>
      <w:r w:rsidRPr="008D2E6D">
        <w:rPr>
          <w:rFonts w:asciiTheme="minorHAnsi" w:hAnsiTheme="minorHAnsi" w:cs="Calibri"/>
          <w:b/>
          <w:sz w:val="24"/>
          <w:szCs w:val="24"/>
        </w:rPr>
        <w:t>What we do not fund:</w:t>
      </w:r>
    </w:p>
    <w:p w14:paraId="75BC7090" w14:textId="05F75456" w:rsidR="00BD6344" w:rsidRPr="008D2E6D" w:rsidRDefault="007A6D3A" w:rsidP="007A6D3A">
      <w:pPr>
        <w:numPr>
          <w:ilvl w:val="0"/>
          <w:numId w:val="21"/>
        </w:numPr>
        <w:spacing w:line="259" w:lineRule="auto"/>
        <w:contextualSpacing/>
        <w:rPr>
          <w:rFonts w:asciiTheme="minorHAnsi" w:hAnsiTheme="minorHAnsi" w:cs="Calibri"/>
          <w:sz w:val="24"/>
          <w:szCs w:val="24"/>
        </w:rPr>
      </w:pPr>
      <w:r w:rsidRPr="008D2E6D">
        <w:rPr>
          <w:rFonts w:asciiTheme="minorHAnsi" w:hAnsiTheme="minorHAnsi" w:cs="Calibri"/>
          <w:sz w:val="24"/>
          <w:szCs w:val="24"/>
        </w:rPr>
        <w:t>Conferences/events that do not support community inclusion and integration for individuals with DD and other disabilities</w:t>
      </w:r>
      <w:r w:rsidR="00A226D8" w:rsidRPr="008D2E6D">
        <w:rPr>
          <w:rFonts w:asciiTheme="minorHAnsi" w:hAnsiTheme="minorHAnsi" w:cs="Calibri"/>
          <w:sz w:val="24"/>
          <w:szCs w:val="24"/>
        </w:rPr>
        <w:t>, including ensuring that people with DD and other disabilities are included in event planning and implementation in meaningful ways.</w:t>
      </w:r>
    </w:p>
    <w:p w14:paraId="2281DF76" w14:textId="4A69EBBB" w:rsidR="007A6D3A" w:rsidRPr="008D2E6D" w:rsidRDefault="00BD6344" w:rsidP="007A6D3A">
      <w:pPr>
        <w:numPr>
          <w:ilvl w:val="0"/>
          <w:numId w:val="21"/>
        </w:numPr>
        <w:spacing w:line="259" w:lineRule="auto"/>
        <w:contextualSpacing/>
        <w:rPr>
          <w:rFonts w:asciiTheme="minorHAnsi" w:hAnsiTheme="minorHAnsi" w:cs="Calibri"/>
          <w:sz w:val="24"/>
          <w:szCs w:val="24"/>
        </w:rPr>
      </w:pPr>
      <w:r w:rsidRPr="008D2E6D">
        <w:rPr>
          <w:rFonts w:asciiTheme="minorHAnsi" w:hAnsiTheme="minorHAnsi" w:cs="Calibri"/>
          <w:sz w:val="24"/>
          <w:szCs w:val="24"/>
        </w:rPr>
        <w:t xml:space="preserve">Conferences/events that do not </w:t>
      </w:r>
      <w:r w:rsidR="00A226D8" w:rsidRPr="008D2E6D">
        <w:rPr>
          <w:rFonts w:asciiTheme="minorHAnsi" w:hAnsiTheme="minorHAnsi" w:cs="Calibri"/>
          <w:sz w:val="24"/>
          <w:szCs w:val="24"/>
        </w:rPr>
        <w:t>demonstrate a commitment to cultural diversity by including persons of color and/or ethnic or other minorities in the planning and implementation of the conference, including as presenters</w:t>
      </w:r>
      <w:r w:rsidR="00333264" w:rsidRPr="008D2E6D">
        <w:rPr>
          <w:rFonts w:asciiTheme="minorHAnsi" w:hAnsiTheme="minorHAnsi" w:cs="Calibri"/>
          <w:sz w:val="24"/>
          <w:szCs w:val="24"/>
        </w:rPr>
        <w:t>.</w:t>
      </w:r>
    </w:p>
    <w:p w14:paraId="6B666531" w14:textId="77777777" w:rsidR="007A6D3A" w:rsidRPr="000017EF" w:rsidRDefault="007A6D3A" w:rsidP="007A6D3A">
      <w:pPr>
        <w:numPr>
          <w:ilvl w:val="0"/>
          <w:numId w:val="21"/>
        </w:numPr>
        <w:spacing w:line="259" w:lineRule="auto"/>
        <w:contextualSpacing/>
        <w:rPr>
          <w:rFonts w:asciiTheme="minorHAnsi" w:hAnsiTheme="minorHAnsi" w:cs="Calibri"/>
          <w:sz w:val="24"/>
          <w:szCs w:val="24"/>
        </w:rPr>
      </w:pPr>
      <w:r w:rsidRPr="008D2E6D">
        <w:rPr>
          <w:rFonts w:asciiTheme="minorHAnsi" w:hAnsiTheme="minorHAnsi" w:cs="Calibri"/>
          <w:sz w:val="24"/>
          <w:szCs w:val="24"/>
        </w:rPr>
        <w:t xml:space="preserve">Conferences/events with a primary focus on entertainment or on highlighting an </w:t>
      </w:r>
      <w:r w:rsidRPr="000017EF">
        <w:rPr>
          <w:rFonts w:asciiTheme="minorHAnsi" w:hAnsiTheme="minorHAnsi" w:cs="Calibri"/>
          <w:sz w:val="24"/>
          <w:szCs w:val="24"/>
        </w:rPr>
        <w:t>individual’s or group’s skills and talents.</w:t>
      </w:r>
    </w:p>
    <w:p w14:paraId="5244F2E6" w14:textId="77777777" w:rsidR="007A6D3A" w:rsidRPr="000017EF" w:rsidRDefault="007A6D3A" w:rsidP="007A6D3A">
      <w:pPr>
        <w:numPr>
          <w:ilvl w:val="0"/>
          <w:numId w:val="21"/>
        </w:numPr>
        <w:spacing w:line="259" w:lineRule="auto"/>
        <w:contextualSpacing/>
        <w:rPr>
          <w:rFonts w:asciiTheme="minorHAnsi" w:hAnsiTheme="minorHAnsi" w:cs="Calibri"/>
          <w:sz w:val="24"/>
          <w:szCs w:val="24"/>
        </w:rPr>
      </w:pPr>
      <w:r w:rsidRPr="000017EF">
        <w:rPr>
          <w:rFonts w:asciiTheme="minorHAnsi" w:hAnsiTheme="minorHAnsi" w:cs="Calibri"/>
          <w:sz w:val="24"/>
          <w:szCs w:val="24"/>
        </w:rPr>
        <w:t>Conferences/events that are not inclusive of people with and without disabilities, unless such event is a self-advocacy event focused on advocacy and policy goals.</w:t>
      </w:r>
    </w:p>
    <w:p w14:paraId="3A274330" w14:textId="28ADDCE4" w:rsidR="007A6D3A" w:rsidRPr="000017EF" w:rsidRDefault="007A6D3A" w:rsidP="007A6D3A">
      <w:pPr>
        <w:numPr>
          <w:ilvl w:val="0"/>
          <w:numId w:val="21"/>
        </w:numPr>
        <w:spacing w:line="259" w:lineRule="auto"/>
        <w:contextualSpacing/>
        <w:rPr>
          <w:rFonts w:asciiTheme="minorHAnsi" w:hAnsiTheme="minorHAnsi" w:cs="Calibri"/>
          <w:sz w:val="24"/>
          <w:szCs w:val="24"/>
        </w:rPr>
      </w:pPr>
      <w:r w:rsidRPr="000017EF">
        <w:rPr>
          <w:rFonts w:asciiTheme="minorHAnsi" w:hAnsiTheme="minorHAnsi" w:cs="Calibri"/>
          <w:sz w:val="24"/>
          <w:szCs w:val="24"/>
        </w:rPr>
        <w:t>Conferences/events that do not directly align with one or more of the Board’</w:t>
      </w:r>
      <w:r w:rsidR="00C56D38">
        <w:rPr>
          <w:rFonts w:asciiTheme="minorHAnsi" w:hAnsiTheme="minorHAnsi" w:cs="Calibri"/>
          <w:sz w:val="24"/>
          <w:szCs w:val="24"/>
        </w:rPr>
        <w:t xml:space="preserve">s current </w:t>
      </w:r>
      <w:hyperlink r:id="rId15" w:history="1">
        <w:r w:rsidR="00C56D38" w:rsidRPr="00C56D38">
          <w:rPr>
            <w:rStyle w:val="Hyperlink"/>
            <w:rFonts w:asciiTheme="minorHAnsi" w:hAnsiTheme="minorHAnsi" w:cs="Calibri"/>
            <w:sz w:val="24"/>
            <w:szCs w:val="24"/>
          </w:rPr>
          <w:t>State Plan Objectives</w:t>
        </w:r>
      </w:hyperlink>
      <w:r w:rsidR="00C56D38">
        <w:rPr>
          <w:rFonts w:asciiTheme="minorHAnsi" w:hAnsiTheme="minorHAnsi" w:cs="Calibri"/>
          <w:sz w:val="24"/>
          <w:szCs w:val="24"/>
        </w:rPr>
        <w:t>.</w:t>
      </w:r>
    </w:p>
    <w:p w14:paraId="0F4955EB" w14:textId="1582C0D9" w:rsidR="007A6D3A" w:rsidRDefault="007A6D3A" w:rsidP="007A6D3A">
      <w:pPr>
        <w:numPr>
          <w:ilvl w:val="0"/>
          <w:numId w:val="21"/>
        </w:numPr>
        <w:contextualSpacing/>
        <w:rPr>
          <w:rFonts w:asciiTheme="minorHAnsi" w:hAnsiTheme="minorHAnsi" w:cs="Calibri"/>
          <w:color w:val="000000" w:themeColor="text1"/>
          <w:sz w:val="24"/>
          <w:szCs w:val="24"/>
        </w:rPr>
      </w:pPr>
      <w:r w:rsidRPr="007E1F5B">
        <w:rPr>
          <w:rFonts w:asciiTheme="minorHAnsi" w:hAnsiTheme="minorHAnsi" w:cs="Calibri"/>
          <w:color w:val="000000" w:themeColor="text1"/>
          <w:sz w:val="24"/>
          <w:szCs w:val="24"/>
        </w:rPr>
        <w:t>Conferences/events that do not directly support individuals with DD and other disabilities in the state of Virginia.</w:t>
      </w:r>
    </w:p>
    <w:p w14:paraId="0B71C4CF" w14:textId="77777777" w:rsidR="007A6D3A" w:rsidRDefault="007A6D3A" w:rsidP="007A6D3A">
      <w:pPr>
        <w:rPr>
          <w:rFonts w:asciiTheme="minorHAnsi" w:hAnsiTheme="minorHAnsi" w:cs="Calibri"/>
          <w:b/>
          <w:sz w:val="24"/>
          <w:szCs w:val="24"/>
        </w:rPr>
      </w:pPr>
    </w:p>
    <w:p w14:paraId="2697E1AA" w14:textId="77777777" w:rsidR="007A6D3A" w:rsidRPr="000017EF" w:rsidRDefault="007A6D3A" w:rsidP="007A6D3A">
      <w:pPr>
        <w:rPr>
          <w:rFonts w:asciiTheme="minorHAnsi" w:hAnsiTheme="minorHAnsi" w:cs="Calibri"/>
          <w:sz w:val="24"/>
          <w:szCs w:val="24"/>
        </w:rPr>
      </w:pPr>
      <w:r w:rsidRPr="000017EF">
        <w:rPr>
          <w:rFonts w:asciiTheme="minorHAnsi" w:hAnsiTheme="minorHAnsi" w:cs="Calibri"/>
          <w:b/>
          <w:sz w:val="24"/>
          <w:szCs w:val="24"/>
        </w:rPr>
        <w:t>Funding Level:</w:t>
      </w:r>
      <w:r w:rsidRPr="000017EF">
        <w:rPr>
          <w:rFonts w:asciiTheme="minorHAnsi" w:hAnsiTheme="minorHAnsi" w:cs="Calibri"/>
          <w:sz w:val="24"/>
          <w:szCs w:val="24"/>
        </w:rPr>
        <w:t xml:space="preserve">  </w:t>
      </w:r>
    </w:p>
    <w:p w14:paraId="2BB8ED88" w14:textId="5C624E77" w:rsidR="007A6D3A" w:rsidRPr="000017EF" w:rsidRDefault="007A6D3A" w:rsidP="007A6D3A">
      <w:pPr>
        <w:rPr>
          <w:rFonts w:asciiTheme="minorHAnsi" w:hAnsiTheme="minorHAnsi" w:cs="Calibri"/>
          <w:sz w:val="24"/>
          <w:szCs w:val="24"/>
        </w:rPr>
      </w:pPr>
      <w:r w:rsidRPr="000017EF">
        <w:rPr>
          <w:rFonts w:asciiTheme="minorHAnsi" w:hAnsiTheme="minorHAnsi" w:cs="Calibri"/>
          <w:sz w:val="24"/>
          <w:szCs w:val="24"/>
        </w:rPr>
        <w:t xml:space="preserve">The amount of funds awarded for event support generally ranges between $500 and $2,500.  The total available Board funds for event support </w:t>
      </w:r>
      <w:r w:rsidR="00A226D8">
        <w:rPr>
          <w:rFonts w:asciiTheme="minorHAnsi" w:hAnsiTheme="minorHAnsi" w:cs="Calibri"/>
          <w:sz w:val="24"/>
          <w:szCs w:val="24"/>
        </w:rPr>
        <w:t>are typically limited</w:t>
      </w:r>
      <w:r w:rsidRPr="000017EF">
        <w:rPr>
          <w:rFonts w:asciiTheme="minorHAnsi" w:hAnsiTheme="minorHAnsi" w:cs="Calibri"/>
          <w:sz w:val="24"/>
          <w:szCs w:val="24"/>
        </w:rPr>
        <w:t xml:space="preserve"> to $10,000 each year. Please check the VBPD website for availability of funds.</w:t>
      </w:r>
    </w:p>
    <w:p w14:paraId="707D4BC7" w14:textId="77777777" w:rsidR="007A6D3A" w:rsidRDefault="007A6D3A" w:rsidP="007A6D3A">
      <w:pPr>
        <w:keepNext/>
        <w:keepLines/>
        <w:rPr>
          <w:rFonts w:asciiTheme="minorHAnsi" w:hAnsiTheme="minorHAnsi" w:cs="Calibri"/>
          <w:b/>
          <w:sz w:val="24"/>
          <w:szCs w:val="24"/>
        </w:rPr>
      </w:pPr>
    </w:p>
    <w:p w14:paraId="11D0F52D" w14:textId="77777777" w:rsidR="007A6D3A" w:rsidRPr="000017EF" w:rsidRDefault="007A6D3A" w:rsidP="007A6D3A">
      <w:pPr>
        <w:keepNext/>
        <w:keepLines/>
        <w:rPr>
          <w:rFonts w:asciiTheme="minorHAnsi" w:hAnsiTheme="minorHAnsi" w:cs="Calibri"/>
          <w:sz w:val="24"/>
          <w:szCs w:val="24"/>
        </w:rPr>
      </w:pPr>
      <w:r w:rsidRPr="000017EF">
        <w:rPr>
          <w:rFonts w:asciiTheme="minorHAnsi" w:hAnsiTheme="minorHAnsi" w:cs="Calibri"/>
          <w:b/>
          <w:sz w:val="24"/>
          <w:szCs w:val="24"/>
        </w:rPr>
        <w:t>Application Procedures:</w:t>
      </w:r>
      <w:r w:rsidRPr="000017EF">
        <w:rPr>
          <w:rFonts w:asciiTheme="minorHAnsi" w:hAnsiTheme="minorHAnsi" w:cs="Calibri"/>
          <w:sz w:val="24"/>
          <w:szCs w:val="24"/>
        </w:rPr>
        <w:t xml:space="preserve">  </w:t>
      </w:r>
    </w:p>
    <w:p w14:paraId="185A77C5" w14:textId="48693D3A" w:rsidR="007A6D3A" w:rsidRPr="000017EF" w:rsidRDefault="007A6D3A" w:rsidP="007A6D3A">
      <w:pPr>
        <w:keepNext/>
        <w:keepLines/>
        <w:rPr>
          <w:rFonts w:asciiTheme="minorHAnsi" w:hAnsiTheme="minorHAnsi" w:cs="Calibri"/>
          <w:sz w:val="24"/>
          <w:szCs w:val="24"/>
        </w:rPr>
      </w:pPr>
      <w:r w:rsidRPr="000017EF">
        <w:rPr>
          <w:rFonts w:asciiTheme="minorHAnsi" w:hAnsiTheme="minorHAnsi" w:cs="Calibri"/>
          <w:sz w:val="24"/>
          <w:szCs w:val="24"/>
        </w:rPr>
        <w:t xml:space="preserve">Requests for Conference/Event </w:t>
      </w:r>
      <w:r>
        <w:rPr>
          <w:rFonts w:asciiTheme="minorHAnsi" w:hAnsiTheme="minorHAnsi" w:cs="Calibri"/>
          <w:sz w:val="24"/>
          <w:szCs w:val="24"/>
        </w:rPr>
        <w:t>funding will be considered four</w:t>
      </w:r>
      <w:r w:rsidRPr="000017EF">
        <w:rPr>
          <w:rFonts w:asciiTheme="minorHAnsi" w:hAnsiTheme="minorHAnsi" w:cs="Calibri"/>
          <w:sz w:val="24"/>
          <w:szCs w:val="24"/>
        </w:rPr>
        <w:t xml:space="preserve"> times per y</w:t>
      </w:r>
      <w:r>
        <w:rPr>
          <w:rFonts w:asciiTheme="minorHAnsi" w:hAnsiTheme="minorHAnsi" w:cs="Calibri"/>
          <w:sz w:val="24"/>
          <w:szCs w:val="24"/>
        </w:rPr>
        <w:t>ear with approximately one-fourth</w:t>
      </w:r>
      <w:r w:rsidRPr="000017EF">
        <w:rPr>
          <w:rFonts w:asciiTheme="minorHAnsi" w:hAnsiTheme="minorHAnsi" w:cs="Calibri"/>
          <w:sz w:val="24"/>
          <w:szCs w:val="24"/>
        </w:rPr>
        <w:t xml:space="preserve"> of the annual budget for event support available for each round.  Applications </w:t>
      </w:r>
      <w:r w:rsidRPr="000017EF">
        <w:rPr>
          <w:rFonts w:asciiTheme="minorHAnsi" w:hAnsiTheme="minorHAnsi" w:cs="Calibri"/>
          <w:sz w:val="24"/>
          <w:szCs w:val="24"/>
          <w:u w:val="single"/>
        </w:rPr>
        <w:t>must be received, not postmarked, by the deadlines below.</w:t>
      </w:r>
    </w:p>
    <w:p w14:paraId="61B191C9" w14:textId="77777777" w:rsidR="007A6D3A" w:rsidRPr="000017EF" w:rsidRDefault="007A6D3A" w:rsidP="007A6D3A">
      <w:pPr>
        <w:spacing w:after="120"/>
        <w:rPr>
          <w:rFonts w:asciiTheme="minorHAnsi" w:hAnsiTheme="minorHAnsi" w:cs="Calibri"/>
          <w:b/>
          <w:sz w:val="24"/>
          <w:szCs w:val="24"/>
        </w:rPr>
      </w:pPr>
    </w:p>
    <w:tbl>
      <w:tblPr>
        <w:tblStyle w:val="TableGrid2"/>
        <w:tblW w:w="0" w:type="auto"/>
        <w:tblLook w:val="04A0" w:firstRow="1" w:lastRow="0" w:firstColumn="1" w:lastColumn="0" w:noHBand="0" w:noVBand="1"/>
        <w:tblCaption w:val="Deadline Schedule"/>
      </w:tblPr>
      <w:tblGrid>
        <w:gridCol w:w="3113"/>
        <w:gridCol w:w="3118"/>
        <w:gridCol w:w="3119"/>
      </w:tblGrid>
      <w:tr w:rsidR="007A6D3A" w:rsidRPr="000017EF" w14:paraId="1E3835EA" w14:textId="77777777" w:rsidTr="00A93CE9">
        <w:trPr>
          <w:tblHeader/>
        </w:trPr>
        <w:tc>
          <w:tcPr>
            <w:tcW w:w="3192" w:type="dxa"/>
          </w:tcPr>
          <w:p w14:paraId="7432C853" w14:textId="77777777" w:rsidR="007A6D3A" w:rsidRPr="000017EF" w:rsidRDefault="007A6D3A" w:rsidP="002A47A7">
            <w:pPr>
              <w:spacing w:after="120"/>
              <w:rPr>
                <w:rFonts w:asciiTheme="minorHAnsi" w:hAnsiTheme="minorHAnsi" w:cs="Calibri"/>
                <w:b/>
                <w:sz w:val="24"/>
                <w:szCs w:val="24"/>
              </w:rPr>
            </w:pPr>
            <w:r w:rsidRPr="000017EF">
              <w:rPr>
                <w:rFonts w:asciiTheme="minorHAnsi" w:hAnsiTheme="minorHAnsi" w:cs="Calibri"/>
                <w:b/>
                <w:sz w:val="24"/>
                <w:szCs w:val="24"/>
              </w:rPr>
              <w:t>For events occurring in the following months:</w:t>
            </w:r>
          </w:p>
        </w:tc>
        <w:tc>
          <w:tcPr>
            <w:tcW w:w="3192" w:type="dxa"/>
          </w:tcPr>
          <w:p w14:paraId="5B3BFF1A" w14:textId="77777777" w:rsidR="007A6D3A" w:rsidRPr="000017EF" w:rsidRDefault="007A6D3A" w:rsidP="002A47A7">
            <w:pPr>
              <w:spacing w:after="120"/>
              <w:rPr>
                <w:rFonts w:asciiTheme="minorHAnsi" w:hAnsiTheme="minorHAnsi" w:cs="Calibri"/>
                <w:b/>
                <w:sz w:val="24"/>
                <w:szCs w:val="24"/>
              </w:rPr>
            </w:pPr>
            <w:r w:rsidRPr="000017EF">
              <w:rPr>
                <w:rFonts w:asciiTheme="minorHAnsi" w:hAnsiTheme="minorHAnsi" w:cs="Calibri"/>
                <w:b/>
                <w:sz w:val="24"/>
                <w:szCs w:val="24"/>
              </w:rPr>
              <w:t xml:space="preserve">The </w:t>
            </w:r>
            <w:r w:rsidRPr="000017EF">
              <w:rPr>
                <w:rFonts w:asciiTheme="minorHAnsi" w:hAnsiTheme="minorHAnsi" w:cs="Calibri"/>
                <w:b/>
                <w:sz w:val="24"/>
                <w:szCs w:val="24"/>
                <w:u w:val="single"/>
              </w:rPr>
              <w:t>deadline</w:t>
            </w:r>
            <w:r w:rsidRPr="000017EF">
              <w:rPr>
                <w:rFonts w:asciiTheme="minorHAnsi" w:hAnsiTheme="minorHAnsi" w:cs="Calibri"/>
                <w:b/>
                <w:sz w:val="24"/>
                <w:szCs w:val="24"/>
              </w:rPr>
              <w:t xml:space="preserve"> for applications is:</w:t>
            </w:r>
          </w:p>
        </w:tc>
        <w:tc>
          <w:tcPr>
            <w:tcW w:w="3192" w:type="dxa"/>
          </w:tcPr>
          <w:p w14:paraId="27B67877" w14:textId="77777777" w:rsidR="007A6D3A" w:rsidRPr="000017EF" w:rsidRDefault="007A6D3A" w:rsidP="002A47A7">
            <w:pPr>
              <w:spacing w:after="120"/>
              <w:rPr>
                <w:rFonts w:asciiTheme="minorHAnsi" w:hAnsiTheme="minorHAnsi" w:cs="Calibri"/>
                <w:b/>
                <w:sz w:val="24"/>
                <w:szCs w:val="24"/>
              </w:rPr>
            </w:pPr>
            <w:r w:rsidRPr="000017EF">
              <w:rPr>
                <w:rFonts w:asciiTheme="minorHAnsi" w:hAnsiTheme="minorHAnsi" w:cs="Calibri"/>
                <w:b/>
                <w:sz w:val="24"/>
                <w:szCs w:val="24"/>
              </w:rPr>
              <w:t>Applications will be reviewed at Board meetings in:</w:t>
            </w:r>
          </w:p>
        </w:tc>
      </w:tr>
      <w:tr w:rsidR="007A6D3A" w:rsidRPr="000017EF" w14:paraId="1E3DEAE5" w14:textId="77777777" w:rsidTr="00A93CE9">
        <w:trPr>
          <w:tblHeader/>
        </w:trPr>
        <w:tc>
          <w:tcPr>
            <w:tcW w:w="3192" w:type="dxa"/>
          </w:tcPr>
          <w:p w14:paraId="6D790CD3" w14:textId="77777777" w:rsidR="007A6D3A" w:rsidRPr="000017EF" w:rsidRDefault="007A6D3A" w:rsidP="002A47A7">
            <w:pPr>
              <w:spacing w:after="120"/>
              <w:rPr>
                <w:rFonts w:asciiTheme="minorHAnsi" w:hAnsiTheme="minorHAnsi" w:cs="Calibri"/>
                <w:sz w:val="24"/>
                <w:szCs w:val="24"/>
              </w:rPr>
            </w:pPr>
            <w:r w:rsidRPr="000017EF">
              <w:rPr>
                <w:rFonts w:asciiTheme="minorHAnsi" w:hAnsiTheme="minorHAnsi" w:cs="Calibri"/>
                <w:sz w:val="24"/>
                <w:szCs w:val="24"/>
              </w:rPr>
              <w:t>July through September</w:t>
            </w:r>
          </w:p>
        </w:tc>
        <w:tc>
          <w:tcPr>
            <w:tcW w:w="3192" w:type="dxa"/>
          </w:tcPr>
          <w:p w14:paraId="57EDEB0B" w14:textId="77777777" w:rsidR="007A6D3A" w:rsidRPr="000017EF" w:rsidRDefault="007A6D3A" w:rsidP="002A47A7">
            <w:pPr>
              <w:spacing w:after="120"/>
              <w:rPr>
                <w:rFonts w:asciiTheme="minorHAnsi" w:hAnsiTheme="minorHAnsi" w:cs="Calibri"/>
                <w:sz w:val="24"/>
                <w:szCs w:val="24"/>
              </w:rPr>
            </w:pPr>
            <w:r w:rsidRPr="000017EF">
              <w:rPr>
                <w:rFonts w:asciiTheme="minorHAnsi" w:hAnsiTheme="minorHAnsi" w:cs="Calibri"/>
                <w:sz w:val="24"/>
                <w:szCs w:val="24"/>
              </w:rPr>
              <w:t>May 1</w:t>
            </w:r>
            <w:r w:rsidRPr="000017EF">
              <w:rPr>
                <w:rFonts w:asciiTheme="minorHAnsi" w:hAnsiTheme="minorHAnsi" w:cs="Calibri"/>
                <w:sz w:val="24"/>
                <w:szCs w:val="24"/>
                <w:vertAlign w:val="superscript"/>
              </w:rPr>
              <w:t>st</w:t>
            </w:r>
          </w:p>
        </w:tc>
        <w:tc>
          <w:tcPr>
            <w:tcW w:w="3192" w:type="dxa"/>
          </w:tcPr>
          <w:p w14:paraId="5D5EF084" w14:textId="77777777" w:rsidR="007A6D3A" w:rsidRPr="000017EF" w:rsidRDefault="007A6D3A" w:rsidP="002A47A7">
            <w:pPr>
              <w:spacing w:after="120"/>
              <w:rPr>
                <w:rFonts w:asciiTheme="minorHAnsi" w:hAnsiTheme="minorHAnsi" w:cs="Calibri"/>
                <w:sz w:val="24"/>
                <w:szCs w:val="24"/>
              </w:rPr>
            </w:pPr>
            <w:r w:rsidRPr="000017EF">
              <w:rPr>
                <w:rFonts w:asciiTheme="minorHAnsi" w:hAnsiTheme="minorHAnsi" w:cs="Calibri"/>
                <w:sz w:val="24"/>
                <w:szCs w:val="24"/>
              </w:rPr>
              <w:t>June</w:t>
            </w:r>
          </w:p>
        </w:tc>
      </w:tr>
      <w:tr w:rsidR="007A6D3A" w:rsidRPr="000017EF" w14:paraId="038F170C" w14:textId="77777777" w:rsidTr="00A93CE9">
        <w:trPr>
          <w:tblHeader/>
        </w:trPr>
        <w:tc>
          <w:tcPr>
            <w:tcW w:w="3192" w:type="dxa"/>
          </w:tcPr>
          <w:p w14:paraId="48691F18" w14:textId="77777777" w:rsidR="007A6D3A" w:rsidRPr="000017EF" w:rsidRDefault="007A6D3A" w:rsidP="002A47A7">
            <w:pPr>
              <w:spacing w:after="120"/>
              <w:rPr>
                <w:rFonts w:asciiTheme="minorHAnsi" w:hAnsiTheme="minorHAnsi" w:cs="Calibri"/>
                <w:sz w:val="24"/>
                <w:szCs w:val="24"/>
              </w:rPr>
            </w:pPr>
            <w:r w:rsidRPr="000017EF">
              <w:rPr>
                <w:rFonts w:asciiTheme="minorHAnsi" w:hAnsiTheme="minorHAnsi" w:cs="Calibri"/>
                <w:sz w:val="24"/>
                <w:szCs w:val="24"/>
              </w:rPr>
              <w:t>October through December</w:t>
            </w:r>
          </w:p>
        </w:tc>
        <w:tc>
          <w:tcPr>
            <w:tcW w:w="3192" w:type="dxa"/>
          </w:tcPr>
          <w:p w14:paraId="03DAB5A3" w14:textId="77777777" w:rsidR="007A6D3A" w:rsidRPr="000017EF" w:rsidRDefault="007A6D3A" w:rsidP="002A47A7">
            <w:pPr>
              <w:spacing w:after="120"/>
              <w:rPr>
                <w:rFonts w:asciiTheme="minorHAnsi" w:hAnsiTheme="minorHAnsi" w:cs="Calibri"/>
                <w:sz w:val="24"/>
                <w:szCs w:val="24"/>
              </w:rPr>
            </w:pPr>
            <w:r w:rsidRPr="000017EF">
              <w:rPr>
                <w:rFonts w:asciiTheme="minorHAnsi" w:hAnsiTheme="minorHAnsi" w:cs="Calibri"/>
                <w:sz w:val="24"/>
                <w:szCs w:val="24"/>
              </w:rPr>
              <w:t>August 1</w:t>
            </w:r>
            <w:r w:rsidRPr="000017EF">
              <w:rPr>
                <w:rFonts w:asciiTheme="minorHAnsi" w:hAnsiTheme="minorHAnsi" w:cs="Calibri"/>
                <w:sz w:val="24"/>
                <w:szCs w:val="24"/>
                <w:vertAlign w:val="superscript"/>
              </w:rPr>
              <w:t>st</w:t>
            </w:r>
          </w:p>
        </w:tc>
        <w:tc>
          <w:tcPr>
            <w:tcW w:w="3192" w:type="dxa"/>
          </w:tcPr>
          <w:p w14:paraId="7876E07D" w14:textId="77777777" w:rsidR="007A6D3A" w:rsidRPr="000017EF" w:rsidRDefault="007A6D3A" w:rsidP="002A47A7">
            <w:pPr>
              <w:spacing w:after="120"/>
              <w:rPr>
                <w:rFonts w:asciiTheme="minorHAnsi" w:hAnsiTheme="minorHAnsi" w:cs="Calibri"/>
                <w:sz w:val="24"/>
                <w:szCs w:val="24"/>
              </w:rPr>
            </w:pPr>
            <w:r w:rsidRPr="000017EF">
              <w:rPr>
                <w:rFonts w:asciiTheme="minorHAnsi" w:hAnsiTheme="minorHAnsi" w:cs="Calibri"/>
                <w:sz w:val="24"/>
                <w:szCs w:val="24"/>
              </w:rPr>
              <w:t>September</w:t>
            </w:r>
          </w:p>
        </w:tc>
      </w:tr>
      <w:tr w:rsidR="007A6D3A" w:rsidRPr="000017EF" w14:paraId="08AB53C6" w14:textId="77777777" w:rsidTr="00A93CE9">
        <w:trPr>
          <w:tblHeader/>
        </w:trPr>
        <w:tc>
          <w:tcPr>
            <w:tcW w:w="3192" w:type="dxa"/>
          </w:tcPr>
          <w:p w14:paraId="2373CFBF" w14:textId="77777777" w:rsidR="007A6D3A" w:rsidRPr="000017EF" w:rsidRDefault="007A6D3A" w:rsidP="002A47A7">
            <w:pPr>
              <w:spacing w:after="120"/>
              <w:rPr>
                <w:rFonts w:asciiTheme="minorHAnsi" w:hAnsiTheme="minorHAnsi" w:cs="Calibri"/>
                <w:sz w:val="24"/>
                <w:szCs w:val="24"/>
              </w:rPr>
            </w:pPr>
            <w:r w:rsidRPr="000017EF">
              <w:rPr>
                <w:rFonts w:asciiTheme="minorHAnsi" w:hAnsiTheme="minorHAnsi" w:cs="Calibri"/>
                <w:sz w:val="24"/>
                <w:szCs w:val="24"/>
              </w:rPr>
              <w:t>January through March</w:t>
            </w:r>
          </w:p>
        </w:tc>
        <w:tc>
          <w:tcPr>
            <w:tcW w:w="3192" w:type="dxa"/>
          </w:tcPr>
          <w:p w14:paraId="2CF5A88E" w14:textId="77777777" w:rsidR="007A6D3A" w:rsidRPr="000017EF" w:rsidRDefault="007A6D3A" w:rsidP="002A47A7">
            <w:pPr>
              <w:spacing w:after="120"/>
              <w:rPr>
                <w:rFonts w:asciiTheme="minorHAnsi" w:hAnsiTheme="minorHAnsi" w:cs="Calibri"/>
                <w:sz w:val="24"/>
                <w:szCs w:val="24"/>
              </w:rPr>
            </w:pPr>
            <w:r w:rsidRPr="000017EF">
              <w:rPr>
                <w:rFonts w:asciiTheme="minorHAnsi" w:hAnsiTheme="minorHAnsi" w:cs="Calibri"/>
                <w:sz w:val="24"/>
                <w:szCs w:val="24"/>
              </w:rPr>
              <w:t>November 1</w:t>
            </w:r>
            <w:r w:rsidRPr="000017EF">
              <w:rPr>
                <w:rFonts w:asciiTheme="minorHAnsi" w:hAnsiTheme="minorHAnsi" w:cs="Calibri"/>
                <w:sz w:val="24"/>
                <w:szCs w:val="24"/>
                <w:vertAlign w:val="superscript"/>
              </w:rPr>
              <w:t>st</w:t>
            </w:r>
          </w:p>
        </w:tc>
        <w:tc>
          <w:tcPr>
            <w:tcW w:w="3192" w:type="dxa"/>
          </w:tcPr>
          <w:p w14:paraId="67502514" w14:textId="77777777" w:rsidR="007A6D3A" w:rsidRPr="000017EF" w:rsidRDefault="007A6D3A" w:rsidP="002A47A7">
            <w:pPr>
              <w:spacing w:after="120"/>
              <w:rPr>
                <w:rFonts w:asciiTheme="minorHAnsi" w:hAnsiTheme="minorHAnsi" w:cs="Calibri"/>
                <w:sz w:val="24"/>
                <w:szCs w:val="24"/>
              </w:rPr>
            </w:pPr>
            <w:r w:rsidRPr="000017EF">
              <w:rPr>
                <w:rFonts w:asciiTheme="minorHAnsi" w:hAnsiTheme="minorHAnsi" w:cs="Calibri"/>
                <w:sz w:val="24"/>
                <w:szCs w:val="24"/>
              </w:rPr>
              <w:t>December</w:t>
            </w:r>
          </w:p>
        </w:tc>
      </w:tr>
      <w:tr w:rsidR="007A6D3A" w:rsidRPr="000017EF" w14:paraId="4EE9326A" w14:textId="77777777" w:rsidTr="00A93CE9">
        <w:trPr>
          <w:tblHeader/>
        </w:trPr>
        <w:tc>
          <w:tcPr>
            <w:tcW w:w="3192" w:type="dxa"/>
          </w:tcPr>
          <w:p w14:paraId="2FB98ECC" w14:textId="77777777" w:rsidR="007A6D3A" w:rsidRPr="000017EF" w:rsidRDefault="007A6D3A" w:rsidP="002A47A7">
            <w:pPr>
              <w:spacing w:after="120"/>
              <w:rPr>
                <w:rFonts w:asciiTheme="minorHAnsi" w:hAnsiTheme="minorHAnsi" w:cs="Calibri"/>
                <w:sz w:val="24"/>
                <w:szCs w:val="24"/>
              </w:rPr>
            </w:pPr>
            <w:r w:rsidRPr="000017EF">
              <w:rPr>
                <w:rFonts w:asciiTheme="minorHAnsi" w:hAnsiTheme="minorHAnsi" w:cs="Calibri"/>
                <w:sz w:val="24"/>
                <w:szCs w:val="24"/>
              </w:rPr>
              <w:t>April through June</w:t>
            </w:r>
          </w:p>
        </w:tc>
        <w:tc>
          <w:tcPr>
            <w:tcW w:w="3192" w:type="dxa"/>
          </w:tcPr>
          <w:p w14:paraId="7CA806F7" w14:textId="77777777" w:rsidR="007A6D3A" w:rsidRPr="000017EF" w:rsidRDefault="007A6D3A" w:rsidP="002A47A7">
            <w:pPr>
              <w:spacing w:after="120"/>
              <w:rPr>
                <w:rFonts w:asciiTheme="minorHAnsi" w:hAnsiTheme="minorHAnsi" w:cs="Calibri"/>
                <w:sz w:val="24"/>
                <w:szCs w:val="24"/>
              </w:rPr>
            </w:pPr>
            <w:r w:rsidRPr="000017EF">
              <w:rPr>
                <w:rFonts w:asciiTheme="minorHAnsi" w:hAnsiTheme="minorHAnsi" w:cs="Calibri"/>
                <w:sz w:val="24"/>
                <w:szCs w:val="24"/>
              </w:rPr>
              <w:t>February 1</w:t>
            </w:r>
            <w:r w:rsidRPr="000017EF">
              <w:rPr>
                <w:rFonts w:asciiTheme="minorHAnsi" w:hAnsiTheme="minorHAnsi" w:cs="Calibri"/>
                <w:sz w:val="24"/>
                <w:szCs w:val="24"/>
                <w:vertAlign w:val="superscript"/>
              </w:rPr>
              <w:t>st</w:t>
            </w:r>
          </w:p>
        </w:tc>
        <w:tc>
          <w:tcPr>
            <w:tcW w:w="3192" w:type="dxa"/>
          </w:tcPr>
          <w:p w14:paraId="55203049" w14:textId="77777777" w:rsidR="007A6D3A" w:rsidRPr="000017EF" w:rsidRDefault="007A6D3A" w:rsidP="002A47A7">
            <w:pPr>
              <w:spacing w:after="120"/>
              <w:rPr>
                <w:rFonts w:asciiTheme="minorHAnsi" w:hAnsiTheme="minorHAnsi" w:cs="Calibri"/>
                <w:sz w:val="24"/>
                <w:szCs w:val="24"/>
              </w:rPr>
            </w:pPr>
            <w:r w:rsidRPr="000017EF">
              <w:rPr>
                <w:rFonts w:asciiTheme="minorHAnsi" w:hAnsiTheme="minorHAnsi" w:cs="Calibri"/>
                <w:sz w:val="24"/>
                <w:szCs w:val="24"/>
              </w:rPr>
              <w:t>March</w:t>
            </w:r>
          </w:p>
        </w:tc>
      </w:tr>
    </w:tbl>
    <w:p w14:paraId="633FFACD" w14:textId="77777777" w:rsidR="007A6D3A" w:rsidRPr="000017EF" w:rsidRDefault="007A6D3A" w:rsidP="007A6D3A">
      <w:pPr>
        <w:rPr>
          <w:rFonts w:asciiTheme="minorHAnsi" w:hAnsiTheme="minorHAnsi" w:cs="Calibri"/>
          <w:b/>
          <w:sz w:val="24"/>
          <w:szCs w:val="24"/>
        </w:rPr>
      </w:pPr>
    </w:p>
    <w:p w14:paraId="228E09E8" w14:textId="04B125E0" w:rsidR="007A6D3A" w:rsidRPr="000D4ACF" w:rsidRDefault="007A6D3A" w:rsidP="007A6D3A">
      <w:pPr>
        <w:rPr>
          <w:rFonts w:asciiTheme="minorHAnsi" w:hAnsiTheme="minorHAnsi" w:cs="Calibri"/>
          <w:sz w:val="24"/>
          <w:szCs w:val="24"/>
        </w:rPr>
      </w:pPr>
      <w:r w:rsidRPr="000017EF">
        <w:rPr>
          <w:rFonts w:asciiTheme="minorHAnsi" w:hAnsiTheme="minorHAnsi" w:cs="Calibri"/>
          <w:b/>
          <w:sz w:val="24"/>
          <w:szCs w:val="24"/>
        </w:rPr>
        <w:t xml:space="preserve">* </w:t>
      </w:r>
      <w:r w:rsidRPr="000017EF">
        <w:rPr>
          <w:rFonts w:asciiTheme="minorHAnsi" w:hAnsiTheme="minorHAnsi" w:cs="Calibri"/>
          <w:sz w:val="24"/>
          <w:szCs w:val="24"/>
        </w:rPr>
        <w:t>Specific Board meeti</w:t>
      </w:r>
      <w:r w:rsidR="00C56D38">
        <w:rPr>
          <w:rFonts w:asciiTheme="minorHAnsi" w:hAnsiTheme="minorHAnsi" w:cs="Calibri"/>
          <w:sz w:val="24"/>
          <w:szCs w:val="24"/>
        </w:rPr>
        <w:t xml:space="preserve">ng dates are posted on-line </w:t>
      </w:r>
      <w:hyperlink r:id="rId16" w:history="1">
        <w:r w:rsidR="00C56D38">
          <w:rPr>
            <w:rFonts w:asciiTheme="minorHAnsi" w:hAnsiTheme="minorHAnsi" w:cs="Calibri"/>
            <w:color w:val="0000FF"/>
            <w:sz w:val="24"/>
            <w:szCs w:val="24"/>
            <w:u w:val="single"/>
          </w:rPr>
          <w:t>here</w:t>
        </w:r>
      </w:hyperlink>
      <w:r w:rsidRPr="000017EF">
        <w:rPr>
          <w:rFonts w:asciiTheme="minorHAnsi" w:hAnsiTheme="minorHAnsi" w:cs="Calibri"/>
          <w:sz w:val="24"/>
          <w:szCs w:val="24"/>
        </w:rPr>
        <w:t>.</w:t>
      </w:r>
    </w:p>
    <w:p w14:paraId="3E1ECAB2" w14:textId="77777777" w:rsidR="007A6D3A" w:rsidRPr="000017EF" w:rsidRDefault="007A6D3A" w:rsidP="007A6D3A">
      <w:pPr>
        <w:jc w:val="center"/>
        <w:rPr>
          <w:rFonts w:asciiTheme="minorHAnsi" w:hAnsiTheme="minorHAnsi" w:cs="Calibri"/>
          <w:sz w:val="24"/>
          <w:szCs w:val="24"/>
          <w:u w:val="single"/>
        </w:rPr>
      </w:pPr>
      <w:r w:rsidRPr="000017EF">
        <w:rPr>
          <w:rFonts w:asciiTheme="minorHAnsi" w:hAnsiTheme="minorHAnsi" w:cs="Calibri"/>
          <w:b/>
          <w:sz w:val="24"/>
          <w:szCs w:val="24"/>
          <w:u w:val="single"/>
        </w:rPr>
        <w:t>Requests that do not meet this timeframe will not be considered.</w:t>
      </w:r>
    </w:p>
    <w:p w14:paraId="3E52D818" w14:textId="77777777" w:rsidR="007A6D3A" w:rsidRPr="000017EF" w:rsidRDefault="007A6D3A" w:rsidP="007A6D3A">
      <w:pPr>
        <w:rPr>
          <w:rFonts w:asciiTheme="minorHAnsi" w:hAnsiTheme="minorHAnsi" w:cs="Calibri"/>
          <w:sz w:val="24"/>
          <w:szCs w:val="24"/>
        </w:rPr>
      </w:pPr>
    </w:p>
    <w:p w14:paraId="0B38EADC" w14:textId="55191A3A" w:rsidR="007A6D3A" w:rsidRPr="000017EF" w:rsidRDefault="007A6D3A" w:rsidP="007A6D3A">
      <w:pPr>
        <w:spacing w:after="120"/>
        <w:rPr>
          <w:rFonts w:asciiTheme="minorHAnsi" w:hAnsiTheme="minorHAnsi" w:cs="Calibri"/>
          <w:color w:val="0000FF"/>
          <w:sz w:val="24"/>
          <w:szCs w:val="24"/>
          <w:u w:val="single"/>
        </w:rPr>
      </w:pPr>
      <w:r w:rsidRPr="000017EF">
        <w:rPr>
          <w:rFonts w:asciiTheme="minorHAnsi" w:hAnsiTheme="minorHAnsi" w:cs="Calibri"/>
          <w:sz w:val="24"/>
          <w:szCs w:val="24"/>
        </w:rPr>
        <w:t xml:space="preserve">A completed </w:t>
      </w:r>
      <w:hyperlink r:id="rId17" w:history="1">
        <w:r w:rsidR="00C56D38" w:rsidRPr="00C56D38">
          <w:rPr>
            <w:rStyle w:val="Hyperlink"/>
            <w:rFonts w:asciiTheme="minorHAnsi" w:hAnsiTheme="minorHAnsi" w:cs="Calibri"/>
            <w:sz w:val="24"/>
            <w:szCs w:val="24"/>
          </w:rPr>
          <w:t>Application for Event Support</w:t>
        </w:r>
      </w:hyperlink>
      <w:r w:rsidRPr="000017EF">
        <w:rPr>
          <w:rFonts w:asciiTheme="minorHAnsi" w:hAnsiTheme="minorHAnsi" w:cs="Calibri"/>
          <w:sz w:val="24"/>
          <w:szCs w:val="24"/>
        </w:rPr>
        <w:t xml:space="preserve"> should be addressed to the Board’s Grants, Contracts and Program Information Manager via </w:t>
      </w:r>
      <w:hyperlink r:id="rId18" w:history="1">
        <w:r w:rsidRPr="000017EF">
          <w:rPr>
            <w:rFonts w:asciiTheme="minorHAnsi" w:hAnsiTheme="minorHAnsi" w:cs="Calibri"/>
            <w:color w:val="0000FF"/>
            <w:sz w:val="24"/>
            <w:szCs w:val="24"/>
            <w:u w:val="single"/>
          </w:rPr>
          <w:t>jason.withers@vbpd.virginia.gov</w:t>
        </w:r>
      </w:hyperlink>
      <w:r w:rsidRPr="000017EF">
        <w:rPr>
          <w:rFonts w:asciiTheme="minorHAnsi" w:hAnsiTheme="minorHAnsi" w:cs="Calibri"/>
          <w:color w:val="0000FF"/>
          <w:sz w:val="24"/>
          <w:szCs w:val="24"/>
          <w:u w:val="single"/>
        </w:rPr>
        <w:t>.</w:t>
      </w:r>
      <w:r w:rsidRPr="000017EF">
        <w:rPr>
          <w:rFonts w:asciiTheme="minorHAnsi" w:hAnsiTheme="minorHAnsi" w:cs="Calibri"/>
          <w:sz w:val="24"/>
          <w:szCs w:val="24"/>
        </w:rPr>
        <w:t xml:space="preserve"> </w:t>
      </w:r>
    </w:p>
    <w:p w14:paraId="2196C11B" w14:textId="77777777" w:rsidR="007A6D3A" w:rsidRPr="000017EF" w:rsidRDefault="007A6D3A" w:rsidP="007A6D3A">
      <w:pPr>
        <w:spacing w:after="120"/>
        <w:rPr>
          <w:rFonts w:asciiTheme="minorHAnsi" w:hAnsiTheme="minorHAnsi" w:cs="Calibri"/>
          <w:sz w:val="24"/>
          <w:szCs w:val="24"/>
          <w:u w:val="single"/>
        </w:rPr>
      </w:pPr>
      <w:r w:rsidRPr="000017EF">
        <w:rPr>
          <w:rFonts w:asciiTheme="minorHAnsi" w:hAnsiTheme="minorHAnsi" w:cs="Calibri"/>
          <w:b/>
          <w:sz w:val="24"/>
          <w:szCs w:val="24"/>
          <w:u w:val="single"/>
        </w:rPr>
        <w:t>Requests which fail to provide the required information in the Application for Event Support will not be considered</w:t>
      </w:r>
      <w:r w:rsidRPr="000017EF">
        <w:rPr>
          <w:rFonts w:asciiTheme="minorHAnsi" w:hAnsiTheme="minorHAnsi" w:cs="Calibri"/>
          <w:sz w:val="24"/>
          <w:szCs w:val="24"/>
          <w:u w:val="single"/>
        </w:rPr>
        <w:t xml:space="preserve">. </w:t>
      </w:r>
    </w:p>
    <w:p w14:paraId="2F7AF1B7" w14:textId="77777777" w:rsidR="007A6D3A" w:rsidRPr="000017EF" w:rsidRDefault="007A6D3A" w:rsidP="007A6D3A">
      <w:pPr>
        <w:spacing w:after="120"/>
        <w:rPr>
          <w:rFonts w:asciiTheme="minorHAnsi" w:hAnsiTheme="minorHAnsi" w:cs="Calibri"/>
          <w:sz w:val="24"/>
          <w:szCs w:val="24"/>
        </w:rPr>
      </w:pPr>
      <w:r w:rsidRPr="000017EF">
        <w:rPr>
          <w:rFonts w:asciiTheme="minorHAnsi" w:hAnsiTheme="minorHAnsi" w:cs="Calibri"/>
          <w:b/>
          <w:sz w:val="24"/>
          <w:szCs w:val="24"/>
        </w:rPr>
        <w:t>Review/Approval Process</w:t>
      </w:r>
      <w:r w:rsidRPr="000017EF">
        <w:rPr>
          <w:rFonts w:asciiTheme="minorHAnsi" w:hAnsiTheme="minorHAnsi" w:cs="Calibri"/>
          <w:sz w:val="24"/>
          <w:szCs w:val="24"/>
        </w:rPr>
        <w:t>:</w:t>
      </w:r>
    </w:p>
    <w:p w14:paraId="1A97C935" w14:textId="77777777" w:rsidR="007A6D3A" w:rsidRPr="000017EF" w:rsidRDefault="007A6D3A" w:rsidP="007A6D3A">
      <w:pPr>
        <w:spacing w:after="120"/>
        <w:rPr>
          <w:rFonts w:asciiTheme="minorHAnsi" w:hAnsiTheme="minorHAnsi" w:cs="Calibri"/>
          <w:sz w:val="24"/>
          <w:szCs w:val="24"/>
        </w:rPr>
      </w:pPr>
      <w:r w:rsidRPr="000017EF">
        <w:rPr>
          <w:rFonts w:asciiTheme="minorHAnsi" w:hAnsiTheme="minorHAnsi" w:cs="Calibri"/>
          <w:sz w:val="24"/>
          <w:szCs w:val="24"/>
        </w:rPr>
        <w:t>All applications will be reviewed by one of the Board’s Standing Committees, which will then make a recommendation to the full Board.  Applicants are notified in writing of the Board’s decision within 1 week following the Board meeting.</w:t>
      </w:r>
    </w:p>
    <w:p w14:paraId="4C0EB3EB" w14:textId="77777777" w:rsidR="007A6D3A" w:rsidRPr="000017EF" w:rsidRDefault="007A6D3A" w:rsidP="007A6D3A">
      <w:pPr>
        <w:spacing w:after="120"/>
        <w:rPr>
          <w:rFonts w:asciiTheme="minorHAnsi" w:hAnsiTheme="minorHAnsi" w:cs="Calibri"/>
          <w:sz w:val="24"/>
          <w:szCs w:val="24"/>
        </w:rPr>
      </w:pPr>
      <w:r w:rsidRPr="000017EF">
        <w:rPr>
          <w:rFonts w:asciiTheme="minorHAnsi" w:hAnsiTheme="minorHAnsi" w:cs="Calibri"/>
          <w:sz w:val="24"/>
          <w:szCs w:val="24"/>
        </w:rPr>
        <w:t>If funds are approved, conditions may apply:</w:t>
      </w:r>
    </w:p>
    <w:p w14:paraId="6B192B04" w14:textId="77777777" w:rsidR="007A6D3A" w:rsidRPr="000017EF" w:rsidRDefault="007A6D3A" w:rsidP="007A6D3A">
      <w:pPr>
        <w:numPr>
          <w:ilvl w:val="0"/>
          <w:numId w:val="16"/>
        </w:numPr>
        <w:spacing w:after="120" w:line="276" w:lineRule="auto"/>
        <w:contextualSpacing/>
        <w:rPr>
          <w:rFonts w:asciiTheme="minorHAnsi" w:hAnsiTheme="minorHAnsi" w:cs="Calibri"/>
          <w:sz w:val="24"/>
          <w:szCs w:val="24"/>
        </w:rPr>
      </w:pPr>
      <w:r w:rsidRPr="000017EF">
        <w:rPr>
          <w:rFonts w:asciiTheme="minorHAnsi" w:hAnsiTheme="minorHAnsi" w:cs="Calibri"/>
          <w:sz w:val="24"/>
          <w:szCs w:val="24"/>
        </w:rPr>
        <w:t xml:space="preserve">Funding approval may not be for the full amount requested, but for a lesser amount.  </w:t>
      </w:r>
    </w:p>
    <w:p w14:paraId="59A40079" w14:textId="092DD499" w:rsidR="000E504B" w:rsidRPr="000D4ACF" w:rsidRDefault="007A6D3A" w:rsidP="000D4ACF">
      <w:pPr>
        <w:numPr>
          <w:ilvl w:val="0"/>
          <w:numId w:val="16"/>
        </w:numPr>
        <w:contextualSpacing/>
        <w:rPr>
          <w:rFonts w:asciiTheme="minorHAnsi" w:hAnsiTheme="minorHAnsi" w:cs="Calibri"/>
          <w:sz w:val="24"/>
          <w:szCs w:val="24"/>
        </w:rPr>
      </w:pPr>
      <w:r w:rsidRPr="000017EF">
        <w:rPr>
          <w:rFonts w:asciiTheme="minorHAnsi" w:hAnsiTheme="minorHAnsi" w:cs="Calibri"/>
          <w:sz w:val="24"/>
          <w:szCs w:val="24"/>
        </w:rPr>
        <w:t xml:space="preserve">The Board may specify the budget line item(s) for which the funds may be used. (See the Grants Manual, pages 7-11, for information on funding terms and conditions for Board projects.)  </w:t>
      </w:r>
    </w:p>
    <w:sectPr w:rsidR="000E504B" w:rsidRPr="000D4ACF" w:rsidSect="00DB33C7">
      <w:footerReference w:type="default" r:id="rId19"/>
      <w:footerReference w:type="first" r:id="rId20"/>
      <w:type w:val="continuous"/>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7B3D0" w14:textId="77777777" w:rsidR="00F3334D" w:rsidRDefault="00F3334D">
      <w:r>
        <w:separator/>
      </w:r>
    </w:p>
  </w:endnote>
  <w:endnote w:type="continuationSeparator" w:id="0">
    <w:p w14:paraId="389AB80C" w14:textId="77777777" w:rsidR="00F3334D" w:rsidRDefault="00F3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3852" w14:textId="3D17C3D5" w:rsidR="00E56174" w:rsidRPr="00DB33C7" w:rsidRDefault="00DB33C7" w:rsidP="00DB33C7">
    <w:pPr>
      <w:pStyle w:val="Footer"/>
      <w:rPr>
        <w:rFonts w:asciiTheme="minorHAnsi" w:hAnsiTheme="minorHAnsi"/>
        <w:sz w:val="24"/>
        <w:szCs w:val="24"/>
      </w:rPr>
    </w:pPr>
    <w:r w:rsidRPr="00DB33C7">
      <w:rPr>
        <w:rFonts w:asciiTheme="minorHAnsi" w:hAnsiTheme="minorHAnsi"/>
        <w:sz w:val="24"/>
        <w:szCs w:val="24"/>
      </w:rPr>
      <w:t>Event Support Procedures</w:t>
    </w:r>
    <w:r w:rsidR="007A6D3A">
      <w:rPr>
        <w:rFonts w:asciiTheme="minorHAnsi" w:hAnsiTheme="minorHAnsi"/>
        <w:sz w:val="24"/>
        <w:szCs w:val="24"/>
      </w:rPr>
      <w:t xml:space="preserve"> rev. </w:t>
    </w:r>
    <w:r w:rsidR="008733A1">
      <w:rPr>
        <w:rFonts w:asciiTheme="minorHAnsi" w:hAnsiTheme="minorHAnsi"/>
        <w:sz w:val="24"/>
        <w:szCs w:val="24"/>
      </w:rPr>
      <w:t>7/18</w:t>
    </w:r>
    <w:r w:rsidR="00BD6344">
      <w:rPr>
        <w:rFonts w:asciiTheme="minorHAnsi" w:hAnsiTheme="minorHAnsi"/>
        <w:sz w:val="24"/>
        <w:szCs w:val="24"/>
      </w:rPr>
      <w:t>/2019</w:t>
    </w:r>
    <w:r w:rsidRPr="00DB33C7">
      <w:rPr>
        <w:rFonts w:asciiTheme="minorHAnsi" w:hAnsiTheme="minorHAnsi"/>
        <w:sz w:val="24"/>
        <w:szCs w:val="24"/>
      </w:rPr>
      <w:tab/>
    </w:r>
    <w:r w:rsidRPr="00DB33C7">
      <w:rPr>
        <w:rFonts w:asciiTheme="minorHAnsi" w:hAnsiTheme="minorHAnsi"/>
        <w:sz w:val="24"/>
        <w:szCs w:val="24"/>
      </w:rPr>
      <w:tab/>
      <w:t xml:space="preserve">Page </w:t>
    </w:r>
    <w:r w:rsidRPr="00DB33C7">
      <w:rPr>
        <w:rFonts w:asciiTheme="minorHAnsi" w:hAnsiTheme="minorHAnsi"/>
        <w:b/>
        <w:sz w:val="24"/>
        <w:szCs w:val="24"/>
      </w:rPr>
      <w:fldChar w:fldCharType="begin"/>
    </w:r>
    <w:r w:rsidRPr="00DB33C7">
      <w:rPr>
        <w:rFonts w:asciiTheme="minorHAnsi" w:hAnsiTheme="minorHAnsi"/>
        <w:b/>
        <w:sz w:val="24"/>
        <w:szCs w:val="24"/>
      </w:rPr>
      <w:instrText xml:space="preserve"> PAGE  \* Arabic  \* MERGEFORMAT </w:instrText>
    </w:r>
    <w:r w:rsidRPr="00DB33C7">
      <w:rPr>
        <w:rFonts w:asciiTheme="minorHAnsi" w:hAnsiTheme="minorHAnsi"/>
        <w:b/>
        <w:sz w:val="24"/>
        <w:szCs w:val="24"/>
      </w:rPr>
      <w:fldChar w:fldCharType="separate"/>
    </w:r>
    <w:r w:rsidR="004265AB">
      <w:rPr>
        <w:rFonts w:asciiTheme="minorHAnsi" w:hAnsiTheme="minorHAnsi"/>
        <w:b/>
        <w:noProof/>
        <w:sz w:val="24"/>
        <w:szCs w:val="24"/>
      </w:rPr>
      <w:t>1</w:t>
    </w:r>
    <w:r w:rsidRPr="00DB33C7">
      <w:rPr>
        <w:rFonts w:asciiTheme="minorHAnsi" w:hAnsiTheme="minorHAnsi"/>
        <w:b/>
        <w:sz w:val="24"/>
        <w:szCs w:val="24"/>
      </w:rPr>
      <w:fldChar w:fldCharType="end"/>
    </w:r>
    <w:r w:rsidRPr="00DB33C7">
      <w:rPr>
        <w:rFonts w:asciiTheme="minorHAnsi" w:hAnsiTheme="minorHAnsi"/>
        <w:sz w:val="24"/>
        <w:szCs w:val="24"/>
      </w:rPr>
      <w:t xml:space="preserve"> of </w:t>
    </w:r>
    <w:r w:rsidRPr="00DB33C7">
      <w:rPr>
        <w:rFonts w:asciiTheme="minorHAnsi" w:hAnsiTheme="minorHAnsi"/>
        <w:b/>
        <w:sz w:val="24"/>
        <w:szCs w:val="24"/>
      </w:rPr>
      <w:fldChar w:fldCharType="begin"/>
    </w:r>
    <w:r w:rsidRPr="00DB33C7">
      <w:rPr>
        <w:rFonts w:asciiTheme="minorHAnsi" w:hAnsiTheme="minorHAnsi"/>
        <w:b/>
        <w:sz w:val="24"/>
        <w:szCs w:val="24"/>
      </w:rPr>
      <w:instrText xml:space="preserve"> NUMPAGES  \* Arabic  \* MERGEFORMAT </w:instrText>
    </w:r>
    <w:r w:rsidRPr="00DB33C7">
      <w:rPr>
        <w:rFonts w:asciiTheme="minorHAnsi" w:hAnsiTheme="minorHAnsi"/>
        <w:b/>
        <w:sz w:val="24"/>
        <w:szCs w:val="24"/>
      </w:rPr>
      <w:fldChar w:fldCharType="separate"/>
    </w:r>
    <w:r w:rsidR="004265AB">
      <w:rPr>
        <w:rFonts w:asciiTheme="minorHAnsi" w:hAnsiTheme="minorHAnsi"/>
        <w:b/>
        <w:noProof/>
        <w:sz w:val="24"/>
        <w:szCs w:val="24"/>
      </w:rPr>
      <w:t>3</w:t>
    </w:r>
    <w:r w:rsidRPr="00DB33C7">
      <w:rPr>
        <w:rFonts w:asciiTheme="minorHAnsi" w:hAnsiTheme="minorHAnsi"/>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98627" w14:textId="77777777" w:rsidR="00E56174" w:rsidRPr="00E56174" w:rsidRDefault="00E56174" w:rsidP="00E56174">
    <w:pPr>
      <w:pStyle w:val="Footer"/>
      <w:jc w:val="right"/>
      <w:rPr>
        <w:rFonts w:asciiTheme="minorHAnsi" w:hAnsiTheme="minorHAnsi"/>
        <w:sz w:val="72"/>
        <w:szCs w:val="72"/>
      </w:rPr>
    </w:pPr>
    <w:r w:rsidRPr="00E56174">
      <w:rPr>
        <w:rFonts w:asciiTheme="minorHAnsi" w:hAnsiTheme="minorHAnsi"/>
        <w:sz w:val="72"/>
        <w:szCs w:val="72"/>
      </w:rPr>
      <w:t xml:space="preserve">BD 5 - </w:t>
    </w:r>
    <w:r w:rsidRPr="00E56174">
      <w:rPr>
        <w:rFonts w:asciiTheme="minorHAnsi" w:hAnsiTheme="minorHAnsi"/>
        <w:sz w:val="72"/>
        <w:szCs w:val="72"/>
      </w:rPr>
      <w:fldChar w:fldCharType="begin"/>
    </w:r>
    <w:r w:rsidRPr="00E56174">
      <w:rPr>
        <w:rFonts w:asciiTheme="minorHAnsi" w:hAnsiTheme="minorHAnsi"/>
        <w:sz w:val="72"/>
        <w:szCs w:val="72"/>
      </w:rPr>
      <w:instrText xml:space="preserve"> PAGE   \* MERGEFORMAT </w:instrText>
    </w:r>
    <w:r w:rsidRPr="00E56174">
      <w:rPr>
        <w:rFonts w:asciiTheme="minorHAnsi" w:hAnsiTheme="minorHAnsi"/>
        <w:sz w:val="72"/>
        <w:szCs w:val="72"/>
      </w:rPr>
      <w:fldChar w:fldCharType="separate"/>
    </w:r>
    <w:r w:rsidR="00DB33C7">
      <w:rPr>
        <w:rFonts w:asciiTheme="minorHAnsi" w:hAnsiTheme="minorHAnsi"/>
        <w:noProof/>
        <w:sz w:val="72"/>
        <w:szCs w:val="72"/>
      </w:rPr>
      <w:t>1</w:t>
    </w:r>
    <w:r w:rsidRPr="00E56174">
      <w:rPr>
        <w:rFonts w:asciiTheme="minorHAnsi" w:hAnsiTheme="minorHAnsi"/>
        <w:noProof/>
        <w:sz w:val="72"/>
        <w:szCs w:val="7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CFB12" w14:textId="77777777" w:rsidR="00F3334D" w:rsidRDefault="00F3334D">
      <w:r>
        <w:separator/>
      </w:r>
    </w:p>
  </w:footnote>
  <w:footnote w:type="continuationSeparator" w:id="0">
    <w:p w14:paraId="4303DB0A" w14:textId="77777777" w:rsidR="00F3334D" w:rsidRDefault="00F33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F12"/>
    <w:multiLevelType w:val="hybridMultilevel"/>
    <w:tmpl w:val="DF2428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15080"/>
    <w:multiLevelType w:val="singleLevel"/>
    <w:tmpl w:val="6204A2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582988"/>
    <w:multiLevelType w:val="hybridMultilevel"/>
    <w:tmpl w:val="0D8CF3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35B3D"/>
    <w:multiLevelType w:val="hybridMultilevel"/>
    <w:tmpl w:val="F3BA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60A7A"/>
    <w:multiLevelType w:val="hybridMultilevel"/>
    <w:tmpl w:val="3112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26497"/>
    <w:multiLevelType w:val="hybridMultilevel"/>
    <w:tmpl w:val="67A45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894C6D"/>
    <w:multiLevelType w:val="singleLevel"/>
    <w:tmpl w:val="8F5ADE88"/>
    <w:lvl w:ilvl="0">
      <w:start w:val="1"/>
      <w:numFmt w:val="upperLetter"/>
      <w:pStyle w:val="ListBullet"/>
      <w:lvlText w:val="%1."/>
      <w:legacy w:legacy="1" w:legacySpace="0" w:legacyIndent="360"/>
      <w:lvlJc w:val="left"/>
      <w:pPr>
        <w:ind w:left="360" w:hanging="360"/>
      </w:pPr>
    </w:lvl>
  </w:abstractNum>
  <w:abstractNum w:abstractNumId="7" w15:restartNumberingAfterBreak="0">
    <w:nsid w:val="33EE6AB1"/>
    <w:multiLevelType w:val="hybridMultilevel"/>
    <w:tmpl w:val="A2984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A65D3"/>
    <w:multiLevelType w:val="hybridMultilevel"/>
    <w:tmpl w:val="3598637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4CAE79D5"/>
    <w:multiLevelType w:val="hybridMultilevel"/>
    <w:tmpl w:val="5E36D2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8E47532"/>
    <w:multiLevelType w:val="hybridMultilevel"/>
    <w:tmpl w:val="9252BE2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15:restartNumberingAfterBreak="0">
    <w:nsid w:val="67A56FC1"/>
    <w:multiLevelType w:val="singleLevel"/>
    <w:tmpl w:val="6204A26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8DE52A1"/>
    <w:multiLevelType w:val="hybridMultilevel"/>
    <w:tmpl w:val="4678C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E515BE"/>
    <w:multiLevelType w:val="hybridMultilevel"/>
    <w:tmpl w:val="D7D8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93952"/>
    <w:multiLevelType w:val="hybridMultilevel"/>
    <w:tmpl w:val="9D1A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42788"/>
    <w:multiLevelType w:val="singleLevel"/>
    <w:tmpl w:val="6EC4E5B6"/>
    <w:lvl w:ilvl="0">
      <w:start w:val="1"/>
      <w:numFmt w:val="bullet"/>
      <w:pStyle w:val="ListBulletDouble"/>
      <w:lvlText w:val="•"/>
      <w:lvlJc w:val="left"/>
      <w:pPr>
        <w:tabs>
          <w:tab w:val="num" w:pos="360"/>
        </w:tabs>
        <w:ind w:left="360" w:hanging="360"/>
      </w:pPr>
      <w:rPr>
        <w:rFonts w:ascii="Arial" w:hAnsi="Arial" w:hint="default"/>
        <w:b w:val="0"/>
        <w:i w:val="0"/>
        <w:sz w:val="24"/>
      </w:rPr>
    </w:lvl>
  </w:abstractNum>
  <w:abstractNum w:abstractNumId="16" w15:restartNumberingAfterBreak="0">
    <w:nsid w:val="730B35D7"/>
    <w:multiLevelType w:val="hybridMultilevel"/>
    <w:tmpl w:val="48D8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3B7ED4"/>
    <w:multiLevelType w:val="hybridMultilevel"/>
    <w:tmpl w:val="B6AA3ED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76ED3627"/>
    <w:multiLevelType w:val="singleLevel"/>
    <w:tmpl w:val="6204A2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D7D71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DA043F5"/>
    <w:multiLevelType w:val="hybridMultilevel"/>
    <w:tmpl w:val="C2E8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
  </w:num>
  <w:num w:numId="4">
    <w:abstractNumId w:val="11"/>
  </w:num>
  <w:num w:numId="5">
    <w:abstractNumId w:val="1"/>
  </w:num>
  <w:num w:numId="6">
    <w:abstractNumId w:val="18"/>
  </w:num>
  <w:num w:numId="7">
    <w:abstractNumId w:val="1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6"/>
  </w:num>
  <w:num w:numId="11">
    <w:abstractNumId w:val="12"/>
  </w:num>
  <w:num w:numId="12">
    <w:abstractNumId w:val="8"/>
  </w:num>
  <w:num w:numId="13">
    <w:abstractNumId w:val="10"/>
  </w:num>
  <w:num w:numId="14">
    <w:abstractNumId w:val="17"/>
  </w:num>
  <w:num w:numId="15">
    <w:abstractNumId w:val="7"/>
  </w:num>
  <w:num w:numId="16">
    <w:abstractNumId w:val="20"/>
  </w:num>
  <w:num w:numId="17">
    <w:abstractNumId w:val="0"/>
  </w:num>
  <w:num w:numId="18">
    <w:abstractNumId w:val="14"/>
  </w:num>
  <w:num w:numId="19">
    <w:abstractNumId w:val="13"/>
  </w:num>
  <w:num w:numId="20">
    <w:abstractNumId w:val="5"/>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FC"/>
    <w:rsid w:val="000037D9"/>
    <w:rsid w:val="00013642"/>
    <w:rsid w:val="000138D4"/>
    <w:rsid w:val="00024E85"/>
    <w:rsid w:val="00026D86"/>
    <w:rsid w:val="00032F39"/>
    <w:rsid w:val="0003436B"/>
    <w:rsid w:val="00043CA7"/>
    <w:rsid w:val="000503F9"/>
    <w:rsid w:val="00054B92"/>
    <w:rsid w:val="00061C20"/>
    <w:rsid w:val="00070CC2"/>
    <w:rsid w:val="00074948"/>
    <w:rsid w:val="000948EC"/>
    <w:rsid w:val="000A0557"/>
    <w:rsid w:val="000A357E"/>
    <w:rsid w:val="000A39F6"/>
    <w:rsid w:val="000A3FB2"/>
    <w:rsid w:val="000B2042"/>
    <w:rsid w:val="000B2D53"/>
    <w:rsid w:val="000C7BF7"/>
    <w:rsid w:val="000D2A25"/>
    <w:rsid w:val="000D4ACF"/>
    <w:rsid w:val="000E1BFA"/>
    <w:rsid w:val="000E504B"/>
    <w:rsid w:val="00114E71"/>
    <w:rsid w:val="0014175B"/>
    <w:rsid w:val="00143D6F"/>
    <w:rsid w:val="00146C14"/>
    <w:rsid w:val="00151D24"/>
    <w:rsid w:val="0015463C"/>
    <w:rsid w:val="001607FE"/>
    <w:rsid w:val="00163171"/>
    <w:rsid w:val="00166539"/>
    <w:rsid w:val="001737E3"/>
    <w:rsid w:val="00193F80"/>
    <w:rsid w:val="001A26E5"/>
    <w:rsid w:val="001A4F5E"/>
    <w:rsid w:val="001A7484"/>
    <w:rsid w:val="001A7BC8"/>
    <w:rsid w:val="001B0A87"/>
    <w:rsid w:val="001C4589"/>
    <w:rsid w:val="001D4CD2"/>
    <w:rsid w:val="001D5E4C"/>
    <w:rsid w:val="001E4961"/>
    <w:rsid w:val="001E5278"/>
    <w:rsid w:val="001F177E"/>
    <w:rsid w:val="001F386D"/>
    <w:rsid w:val="001F6635"/>
    <w:rsid w:val="002001E8"/>
    <w:rsid w:val="002014FE"/>
    <w:rsid w:val="00213AA6"/>
    <w:rsid w:val="00213D47"/>
    <w:rsid w:val="002154F6"/>
    <w:rsid w:val="00216A2F"/>
    <w:rsid w:val="002353E0"/>
    <w:rsid w:val="002504BB"/>
    <w:rsid w:val="00262654"/>
    <w:rsid w:val="0027428B"/>
    <w:rsid w:val="002856C8"/>
    <w:rsid w:val="00290712"/>
    <w:rsid w:val="00291F6B"/>
    <w:rsid w:val="00293C12"/>
    <w:rsid w:val="0029451B"/>
    <w:rsid w:val="002A0864"/>
    <w:rsid w:val="002A686D"/>
    <w:rsid w:val="002B19CA"/>
    <w:rsid w:val="002B5BB1"/>
    <w:rsid w:val="002C053E"/>
    <w:rsid w:val="002C23D0"/>
    <w:rsid w:val="002D07E2"/>
    <w:rsid w:val="002D76DF"/>
    <w:rsid w:val="002E19FB"/>
    <w:rsid w:val="002E5D39"/>
    <w:rsid w:val="00321422"/>
    <w:rsid w:val="00327DD2"/>
    <w:rsid w:val="00333264"/>
    <w:rsid w:val="00334BD0"/>
    <w:rsid w:val="0034121F"/>
    <w:rsid w:val="003549DE"/>
    <w:rsid w:val="003717C8"/>
    <w:rsid w:val="00381445"/>
    <w:rsid w:val="00394E36"/>
    <w:rsid w:val="003A2D6C"/>
    <w:rsid w:val="003B331B"/>
    <w:rsid w:val="003C049F"/>
    <w:rsid w:val="003C1BE6"/>
    <w:rsid w:val="003C34E5"/>
    <w:rsid w:val="003D3CB0"/>
    <w:rsid w:val="003E1F2C"/>
    <w:rsid w:val="003F2854"/>
    <w:rsid w:val="003F5489"/>
    <w:rsid w:val="003F61F2"/>
    <w:rsid w:val="003F6DE6"/>
    <w:rsid w:val="00405315"/>
    <w:rsid w:val="004065DD"/>
    <w:rsid w:val="004148A3"/>
    <w:rsid w:val="004229F1"/>
    <w:rsid w:val="00422BC9"/>
    <w:rsid w:val="004265AB"/>
    <w:rsid w:val="00432CEB"/>
    <w:rsid w:val="00442710"/>
    <w:rsid w:val="00442DD5"/>
    <w:rsid w:val="00446695"/>
    <w:rsid w:val="004546DC"/>
    <w:rsid w:val="00456E64"/>
    <w:rsid w:val="00464121"/>
    <w:rsid w:val="0048502F"/>
    <w:rsid w:val="00485177"/>
    <w:rsid w:val="004942BB"/>
    <w:rsid w:val="004A54EF"/>
    <w:rsid w:val="004B6B0D"/>
    <w:rsid w:val="004C5941"/>
    <w:rsid w:val="004D1B94"/>
    <w:rsid w:val="004E67A2"/>
    <w:rsid w:val="004F0B85"/>
    <w:rsid w:val="004F794C"/>
    <w:rsid w:val="00502B89"/>
    <w:rsid w:val="005127C3"/>
    <w:rsid w:val="005139AB"/>
    <w:rsid w:val="00520BAD"/>
    <w:rsid w:val="00522B83"/>
    <w:rsid w:val="00524A5C"/>
    <w:rsid w:val="00541C45"/>
    <w:rsid w:val="00544D98"/>
    <w:rsid w:val="00552EA8"/>
    <w:rsid w:val="005539BF"/>
    <w:rsid w:val="00554433"/>
    <w:rsid w:val="00556699"/>
    <w:rsid w:val="00557FAA"/>
    <w:rsid w:val="00567DB1"/>
    <w:rsid w:val="00573530"/>
    <w:rsid w:val="005A20A6"/>
    <w:rsid w:val="005B3719"/>
    <w:rsid w:val="005B407E"/>
    <w:rsid w:val="005B57F8"/>
    <w:rsid w:val="005D1F48"/>
    <w:rsid w:val="005E1E1D"/>
    <w:rsid w:val="005E457A"/>
    <w:rsid w:val="005F669E"/>
    <w:rsid w:val="00600DF9"/>
    <w:rsid w:val="00607BEF"/>
    <w:rsid w:val="00607C8E"/>
    <w:rsid w:val="00615612"/>
    <w:rsid w:val="0062047C"/>
    <w:rsid w:val="006236BD"/>
    <w:rsid w:val="00623A08"/>
    <w:rsid w:val="00626CA2"/>
    <w:rsid w:val="00634109"/>
    <w:rsid w:val="00641611"/>
    <w:rsid w:val="00661790"/>
    <w:rsid w:val="0066571A"/>
    <w:rsid w:val="00665B8D"/>
    <w:rsid w:val="0066634F"/>
    <w:rsid w:val="00673A8B"/>
    <w:rsid w:val="006753CD"/>
    <w:rsid w:val="00692401"/>
    <w:rsid w:val="00693030"/>
    <w:rsid w:val="006956B7"/>
    <w:rsid w:val="006970E3"/>
    <w:rsid w:val="006B1AB0"/>
    <w:rsid w:val="006B39D9"/>
    <w:rsid w:val="006C29BC"/>
    <w:rsid w:val="006D3E71"/>
    <w:rsid w:val="006D5DAB"/>
    <w:rsid w:val="006E52EF"/>
    <w:rsid w:val="006F4A24"/>
    <w:rsid w:val="006F790B"/>
    <w:rsid w:val="00701BB4"/>
    <w:rsid w:val="007045D5"/>
    <w:rsid w:val="00706651"/>
    <w:rsid w:val="007136E8"/>
    <w:rsid w:val="0071377A"/>
    <w:rsid w:val="00723429"/>
    <w:rsid w:val="0072587C"/>
    <w:rsid w:val="00725D3B"/>
    <w:rsid w:val="007301F3"/>
    <w:rsid w:val="00737082"/>
    <w:rsid w:val="00737B1B"/>
    <w:rsid w:val="00742503"/>
    <w:rsid w:val="0074260D"/>
    <w:rsid w:val="00743F63"/>
    <w:rsid w:val="00745C7E"/>
    <w:rsid w:val="00750641"/>
    <w:rsid w:val="00752886"/>
    <w:rsid w:val="0075482C"/>
    <w:rsid w:val="0077354C"/>
    <w:rsid w:val="007A6D3A"/>
    <w:rsid w:val="007B6F4C"/>
    <w:rsid w:val="007B71E7"/>
    <w:rsid w:val="007C1921"/>
    <w:rsid w:val="007C3A63"/>
    <w:rsid w:val="00805309"/>
    <w:rsid w:val="00810B24"/>
    <w:rsid w:val="008160DD"/>
    <w:rsid w:val="00822BFE"/>
    <w:rsid w:val="008325D0"/>
    <w:rsid w:val="00843E79"/>
    <w:rsid w:val="00845AF3"/>
    <w:rsid w:val="00856CB6"/>
    <w:rsid w:val="00857EFD"/>
    <w:rsid w:val="00865F36"/>
    <w:rsid w:val="008733A1"/>
    <w:rsid w:val="008804E2"/>
    <w:rsid w:val="00885AC8"/>
    <w:rsid w:val="00890482"/>
    <w:rsid w:val="008A0735"/>
    <w:rsid w:val="008B0C05"/>
    <w:rsid w:val="008B4422"/>
    <w:rsid w:val="008B6FF5"/>
    <w:rsid w:val="008C4458"/>
    <w:rsid w:val="008D24CE"/>
    <w:rsid w:val="008D2E6D"/>
    <w:rsid w:val="008D40B5"/>
    <w:rsid w:val="008D5766"/>
    <w:rsid w:val="008E4BC6"/>
    <w:rsid w:val="008F431F"/>
    <w:rsid w:val="008F543D"/>
    <w:rsid w:val="008F6D1D"/>
    <w:rsid w:val="009019DA"/>
    <w:rsid w:val="0092190B"/>
    <w:rsid w:val="00925583"/>
    <w:rsid w:val="009348D8"/>
    <w:rsid w:val="0093677D"/>
    <w:rsid w:val="00943D33"/>
    <w:rsid w:val="0094511C"/>
    <w:rsid w:val="00946F8A"/>
    <w:rsid w:val="00955E8E"/>
    <w:rsid w:val="00965B5A"/>
    <w:rsid w:val="00982935"/>
    <w:rsid w:val="009829BA"/>
    <w:rsid w:val="00985AA9"/>
    <w:rsid w:val="00985BC9"/>
    <w:rsid w:val="0099165A"/>
    <w:rsid w:val="009A1A23"/>
    <w:rsid w:val="009A2B85"/>
    <w:rsid w:val="009C3493"/>
    <w:rsid w:val="009C5902"/>
    <w:rsid w:val="009E05E3"/>
    <w:rsid w:val="009F576A"/>
    <w:rsid w:val="009F7A4B"/>
    <w:rsid w:val="00A01F09"/>
    <w:rsid w:val="00A1042F"/>
    <w:rsid w:val="00A10481"/>
    <w:rsid w:val="00A226D8"/>
    <w:rsid w:val="00A31D06"/>
    <w:rsid w:val="00A34B89"/>
    <w:rsid w:val="00A34E01"/>
    <w:rsid w:val="00A377C0"/>
    <w:rsid w:val="00A410E0"/>
    <w:rsid w:val="00A5628E"/>
    <w:rsid w:val="00A60339"/>
    <w:rsid w:val="00A626DA"/>
    <w:rsid w:val="00A673BD"/>
    <w:rsid w:val="00A73935"/>
    <w:rsid w:val="00A81E06"/>
    <w:rsid w:val="00A868F8"/>
    <w:rsid w:val="00A938AD"/>
    <w:rsid w:val="00A93CE9"/>
    <w:rsid w:val="00AA0595"/>
    <w:rsid w:val="00AA2C8A"/>
    <w:rsid w:val="00AB0B32"/>
    <w:rsid w:val="00AC5E7F"/>
    <w:rsid w:val="00AD5282"/>
    <w:rsid w:val="00AF10D0"/>
    <w:rsid w:val="00AF333D"/>
    <w:rsid w:val="00B042F4"/>
    <w:rsid w:val="00B125DE"/>
    <w:rsid w:val="00B20FAF"/>
    <w:rsid w:val="00B2420B"/>
    <w:rsid w:val="00B37628"/>
    <w:rsid w:val="00B3773A"/>
    <w:rsid w:val="00B4777C"/>
    <w:rsid w:val="00B50F95"/>
    <w:rsid w:val="00B54782"/>
    <w:rsid w:val="00B60022"/>
    <w:rsid w:val="00B631B9"/>
    <w:rsid w:val="00B6587F"/>
    <w:rsid w:val="00B75167"/>
    <w:rsid w:val="00B752D9"/>
    <w:rsid w:val="00B8068C"/>
    <w:rsid w:val="00B87618"/>
    <w:rsid w:val="00B90280"/>
    <w:rsid w:val="00B94DE2"/>
    <w:rsid w:val="00BA1294"/>
    <w:rsid w:val="00BA1956"/>
    <w:rsid w:val="00BB4A67"/>
    <w:rsid w:val="00BC0D77"/>
    <w:rsid w:val="00BC3854"/>
    <w:rsid w:val="00BC3D92"/>
    <w:rsid w:val="00BD54A9"/>
    <w:rsid w:val="00BD6344"/>
    <w:rsid w:val="00BE21F1"/>
    <w:rsid w:val="00BE6312"/>
    <w:rsid w:val="00BF5D03"/>
    <w:rsid w:val="00C01602"/>
    <w:rsid w:val="00C1672D"/>
    <w:rsid w:val="00C203E9"/>
    <w:rsid w:val="00C3521C"/>
    <w:rsid w:val="00C374B4"/>
    <w:rsid w:val="00C4040A"/>
    <w:rsid w:val="00C4360F"/>
    <w:rsid w:val="00C44A5D"/>
    <w:rsid w:val="00C46A93"/>
    <w:rsid w:val="00C470F0"/>
    <w:rsid w:val="00C56D38"/>
    <w:rsid w:val="00C60A2D"/>
    <w:rsid w:val="00C715D5"/>
    <w:rsid w:val="00C7422E"/>
    <w:rsid w:val="00C925C4"/>
    <w:rsid w:val="00CC5489"/>
    <w:rsid w:val="00CE2647"/>
    <w:rsid w:val="00CE7D13"/>
    <w:rsid w:val="00CF0874"/>
    <w:rsid w:val="00D05D45"/>
    <w:rsid w:val="00D13008"/>
    <w:rsid w:val="00D179B8"/>
    <w:rsid w:val="00D26682"/>
    <w:rsid w:val="00D30A91"/>
    <w:rsid w:val="00D33AE5"/>
    <w:rsid w:val="00D445AE"/>
    <w:rsid w:val="00D45A47"/>
    <w:rsid w:val="00D45CD2"/>
    <w:rsid w:val="00D4741F"/>
    <w:rsid w:val="00D54EC6"/>
    <w:rsid w:val="00D578F3"/>
    <w:rsid w:val="00D6361C"/>
    <w:rsid w:val="00D654E1"/>
    <w:rsid w:val="00D72640"/>
    <w:rsid w:val="00D86105"/>
    <w:rsid w:val="00D8642C"/>
    <w:rsid w:val="00D91913"/>
    <w:rsid w:val="00D97617"/>
    <w:rsid w:val="00DB33C7"/>
    <w:rsid w:val="00DB39A8"/>
    <w:rsid w:val="00DC587F"/>
    <w:rsid w:val="00DD3188"/>
    <w:rsid w:val="00DD5F9C"/>
    <w:rsid w:val="00DE43E7"/>
    <w:rsid w:val="00DE4C20"/>
    <w:rsid w:val="00DF0598"/>
    <w:rsid w:val="00DF35EF"/>
    <w:rsid w:val="00DF73EF"/>
    <w:rsid w:val="00E0320F"/>
    <w:rsid w:val="00E0719A"/>
    <w:rsid w:val="00E1231B"/>
    <w:rsid w:val="00E15664"/>
    <w:rsid w:val="00E16374"/>
    <w:rsid w:val="00E16AEE"/>
    <w:rsid w:val="00E2098D"/>
    <w:rsid w:val="00E304C5"/>
    <w:rsid w:val="00E31280"/>
    <w:rsid w:val="00E31BD3"/>
    <w:rsid w:val="00E359AE"/>
    <w:rsid w:val="00E45CCC"/>
    <w:rsid w:val="00E539FC"/>
    <w:rsid w:val="00E56174"/>
    <w:rsid w:val="00E67293"/>
    <w:rsid w:val="00E82A1F"/>
    <w:rsid w:val="00E84B80"/>
    <w:rsid w:val="00E86B04"/>
    <w:rsid w:val="00E96AB3"/>
    <w:rsid w:val="00EA2CEC"/>
    <w:rsid w:val="00EA71F6"/>
    <w:rsid w:val="00EB2449"/>
    <w:rsid w:val="00EC38F8"/>
    <w:rsid w:val="00EF660E"/>
    <w:rsid w:val="00F02022"/>
    <w:rsid w:val="00F06D5B"/>
    <w:rsid w:val="00F14EFD"/>
    <w:rsid w:val="00F20DA8"/>
    <w:rsid w:val="00F2794F"/>
    <w:rsid w:val="00F3334D"/>
    <w:rsid w:val="00F51080"/>
    <w:rsid w:val="00F604E6"/>
    <w:rsid w:val="00F82EFE"/>
    <w:rsid w:val="00F84ABC"/>
    <w:rsid w:val="00F87935"/>
    <w:rsid w:val="00F90097"/>
    <w:rsid w:val="00F93E0B"/>
    <w:rsid w:val="00FA2F0D"/>
    <w:rsid w:val="00FA5811"/>
    <w:rsid w:val="00FB09A8"/>
    <w:rsid w:val="00FB3DD9"/>
    <w:rsid w:val="00FD2AAC"/>
    <w:rsid w:val="00FD2CAF"/>
    <w:rsid w:val="00FD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A13E5CF"/>
  <w15:docId w15:val="{82445692-4D74-4259-9A63-A628AE6E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9BC"/>
  </w:style>
  <w:style w:type="paragraph" w:styleId="Heading1">
    <w:name w:val="heading 1"/>
    <w:basedOn w:val="Normal"/>
    <w:next w:val="Normal"/>
    <w:qFormat/>
    <w:rsid w:val="006C29BC"/>
    <w:pPr>
      <w:keepNext/>
      <w:outlineLvl w:val="0"/>
    </w:pPr>
    <w:rPr>
      <w:sz w:val="22"/>
      <w:u w:val="single"/>
    </w:rPr>
  </w:style>
  <w:style w:type="paragraph" w:styleId="Heading2">
    <w:name w:val="heading 2"/>
    <w:basedOn w:val="Normal"/>
    <w:next w:val="Normal"/>
    <w:qFormat/>
    <w:rsid w:val="006C29BC"/>
    <w:pPr>
      <w:keepNext/>
      <w:pBdr>
        <w:bottom w:val="single" w:sz="12" w:space="1" w:color="auto"/>
      </w:pBdr>
      <w:outlineLvl w:val="1"/>
    </w:pPr>
    <w:rPr>
      <w:sz w:val="24"/>
    </w:rPr>
  </w:style>
  <w:style w:type="paragraph" w:styleId="Heading3">
    <w:name w:val="heading 3"/>
    <w:basedOn w:val="Normal"/>
    <w:next w:val="Normal"/>
    <w:qFormat/>
    <w:rsid w:val="006C29BC"/>
    <w:pPr>
      <w:keepNext/>
      <w:pBdr>
        <w:bottom w:val="single" w:sz="12" w:space="1" w:color="auto"/>
      </w:pBdr>
      <w:outlineLvl w:val="2"/>
    </w:pPr>
    <w:rPr>
      <w:rFonts w:ascii="Arial" w:hAnsi="Arial"/>
      <w:b/>
      <w:sz w:val="26"/>
    </w:rPr>
  </w:style>
  <w:style w:type="paragraph" w:styleId="Heading4">
    <w:name w:val="heading 4"/>
    <w:basedOn w:val="Normal"/>
    <w:next w:val="Normal"/>
    <w:qFormat/>
    <w:rsid w:val="006C29BC"/>
    <w:pPr>
      <w:keepNext/>
      <w:spacing w:line="240" w:lineRule="exact"/>
      <w:outlineLvl w:val="3"/>
    </w:pPr>
    <w:rPr>
      <w:rFonts w:ascii="Arial" w:hAnsi="Arial"/>
      <w:sz w:val="26"/>
    </w:rPr>
  </w:style>
  <w:style w:type="paragraph" w:styleId="Heading5">
    <w:name w:val="heading 5"/>
    <w:basedOn w:val="Normal"/>
    <w:next w:val="Normal"/>
    <w:qFormat/>
    <w:rsid w:val="006C29BC"/>
    <w:pPr>
      <w:keepNext/>
      <w:widowControl w:val="0"/>
      <w:outlineLvl w:val="4"/>
    </w:pPr>
    <w:rPr>
      <w:sz w:val="24"/>
    </w:rPr>
  </w:style>
  <w:style w:type="paragraph" w:styleId="Heading6">
    <w:name w:val="heading 6"/>
    <w:basedOn w:val="Normal"/>
    <w:next w:val="Normal"/>
    <w:qFormat/>
    <w:rsid w:val="006C29BC"/>
    <w:pPr>
      <w:keepNext/>
      <w:spacing w:line="232" w:lineRule="auto"/>
      <w:outlineLvl w:val="5"/>
    </w:pPr>
    <w:rPr>
      <w:sz w:val="27"/>
    </w:rPr>
  </w:style>
  <w:style w:type="paragraph" w:styleId="Heading7">
    <w:name w:val="heading 7"/>
    <w:basedOn w:val="Normal"/>
    <w:next w:val="Normal"/>
    <w:qFormat/>
    <w:rsid w:val="006C29BC"/>
    <w:pPr>
      <w:keepNext/>
      <w:widowControl w:val="0"/>
      <w:outlineLvl w:val="6"/>
    </w:pPr>
    <w:rPr>
      <w:rFonts w:ascii="Arial" w:hAnsi="Arial"/>
      <w:i/>
      <w:sz w:val="24"/>
    </w:rPr>
  </w:style>
  <w:style w:type="paragraph" w:styleId="Heading8">
    <w:name w:val="heading 8"/>
    <w:basedOn w:val="Normal"/>
    <w:next w:val="Normal"/>
    <w:qFormat/>
    <w:rsid w:val="006C29BC"/>
    <w:pPr>
      <w:keepNext/>
      <w:spacing w:line="233" w:lineRule="auto"/>
      <w:outlineLvl w:val="7"/>
    </w:pPr>
    <w:rPr>
      <w:sz w:val="28"/>
      <w:u w:val="single"/>
    </w:rPr>
  </w:style>
  <w:style w:type="paragraph" w:styleId="Heading9">
    <w:name w:val="heading 9"/>
    <w:basedOn w:val="Normal"/>
    <w:next w:val="Normal"/>
    <w:qFormat/>
    <w:rsid w:val="006C29BC"/>
    <w:pPr>
      <w:keepNext/>
      <w:outlineLvl w:val="8"/>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C29BC"/>
    <w:rPr>
      <w:rFonts w:ascii="Arial" w:hAnsi="Arial"/>
      <w:sz w:val="24"/>
    </w:rPr>
  </w:style>
  <w:style w:type="paragraph" w:styleId="BodyText">
    <w:name w:val="Body Text"/>
    <w:basedOn w:val="Normal"/>
    <w:rsid w:val="006C29BC"/>
    <w:rPr>
      <w:rFonts w:ascii="Arial" w:hAnsi="Arial"/>
      <w:sz w:val="26"/>
    </w:rPr>
  </w:style>
  <w:style w:type="paragraph" w:styleId="BodyText2">
    <w:name w:val="Body Text 2"/>
    <w:basedOn w:val="Normal"/>
    <w:rsid w:val="006C29BC"/>
    <w:pPr>
      <w:tabs>
        <w:tab w:val="left" w:pos="-1080"/>
        <w:tab w:val="left" w:pos="-720"/>
        <w:tab w:val="left" w:pos="0"/>
        <w:tab w:val="left" w:pos="450"/>
        <w:tab w:val="left" w:pos="1440"/>
      </w:tabs>
      <w:spacing w:line="465" w:lineRule="auto"/>
      <w:ind w:firstLine="450"/>
      <w:jc w:val="both"/>
    </w:pPr>
    <w:rPr>
      <w:sz w:val="23"/>
    </w:rPr>
  </w:style>
  <w:style w:type="paragraph" w:styleId="Header">
    <w:name w:val="header"/>
    <w:basedOn w:val="Normal"/>
    <w:rsid w:val="006C29BC"/>
    <w:pPr>
      <w:tabs>
        <w:tab w:val="center" w:pos="4320"/>
        <w:tab w:val="right" w:pos="8640"/>
      </w:tabs>
    </w:pPr>
  </w:style>
  <w:style w:type="paragraph" w:styleId="BodyTextIndent2">
    <w:name w:val="Body Text Indent 2"/>
    <w:basedOn w:val="Normal"/>
    <w:rsid w:val="006C29BC"/>
    <w:pPr>
      <w:tabs>
        <w:tab w:val="left" w:pos="-1080"/>
        <w:tab w:val="left" w:pos="-720"/>
        <w:tab w:val="left" w:pos="0"/>
        <w:tab w:val="left" w:pos="450"/>
        <w:tab w:val="left" w:pos="1440"/>
      </w:tabs>
      <w:ind w:firstLine="446"/>
      <w:jc w:val="both"/>
    </w:pPr>
    <w:rPr>
      <w:sz w:val="23"/>
    </w:rPr>
  </w:style>
  <w:style w:type="paragraph" w:styleId="BlockText">
    <w:name w:val="Block Text"/>
    <w:basedOn w:val="Normal"/>
    <w:rsid w:val="006C29BC"/>
    <w:pPr>
      <w:tabs>
        <w:tab w:val="left" w:pos="8640"/>
      </w:tabs>
      <w:ind w:left="144" w:right="720"/>
      <w:jc w:val="both"/>
    </w:pPr>
    <w:rPr>
      <w:rFonts w:ascii="Arial" w:hAnsi="Arial"/>
      <w:b/>
    </w:rPr>
  </w:style>
  <w:style w:type="paragraph" w:customStyle="1" w:styleId="1">
    <w:name w:val="1"/>
    <w:aliases w:val="2,3"/>
    <w:basedOn w:val="Normal"/>
    <w:rsid w:val="006C29BC"/>
    <w:pPr>
      <w:widowControl w:val="0"/>
      <w:ind w:left="1440" w:hanging="720"/>
    </w:pPr>
    <w:rPr>
      <w:sz w:val="24"/>
    </w:rPr>
  </w:style>
  <w:style w:type="paragraph" w:styleId="BodyTextIndent">
    <w:name w:val="Body Text Indent"/>
    <w:basedOn w:val="Normal"/>
    <w:rsid w:val="006C29BC"/>
    <w:pPr>
      <w:tabs>
        <w:tab w:val="left" w:pos="-1080"/>
        <w:tab w:val="left" w:pos="-720"/>
        <w:tab w:val="left" w:pos="0"/>
        <w:tab w:val="left" w:pos="450"/>
        <w:tab w:val="left" w:pos="1440"/>
      </w:tabs>
      <w:ind w:firstLine="446"/>
      <w:jc w:val="both"/>
    </w:pPr>
    <w:rPr>
      <w:sz w:val="24"/>
    </w:rPr>
  </w:style>
  <w:style w:type="paragraph" w:styleId="Subtitle">
    <w:name w:val="Subtitle"/>
    <w:basedOn w:val="Normal"/>
    <w:qFormat/>
    <w:rsid w:val="006C29BC"/>
    <w:pPr>
      <w:jc w:val="center"/>
    </w:pPr>
    <w:rPr>
      <w:b/>
      <w:sz w:val="28"/>
    </w:rPr>
  </w:style>
  <w:style w:type="paragraph" w:styleId="Footer">
    <w:name w:val="footer"/>
    <w:basedOn w:val="Normal"/>
    <w:rsid w:val="006C29BC"/>
    <w:pPr>
      <w:tabs>
        <w:tab w:val="center" w:pos="4320"/>
        <w:tab w:val="right" w:pos="8640"/>
      </w:tabs>
    </w:pPr>
  </w:style>
  <w:style w:type="paragraph" w:styleId="BodyTextIndent3">
    <w:name w:val="Body Text Indent 3"/>
    <w:basedOn w:val="Normal"/>
    <w:rsid w:val="006C29B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360"/>
    </w:pPr>
    <w:rPr>
      <w:sz w:val="22"/>
    </w:rPr>
  </w:style>
  <w:style w:type="character" w:styleId="Hyperlink">
    <w:name w:val="Hyperlink"/>
    <w:basedOn w:val="DefaultParagraphFont"/>
    <w:rsid w:val="006C29BC"/>
    <w:rPr>
      <w:color w:val="0000FF"/>
      <w:u w:val="single"/>
    </w:rPr>
  </w:style>
  <w:style w:type="character" w:styleId="PageNumber">
    <w:name w:val="page number"/>
    <w:basedOn w:val="DefaultParagraphFont"/>
    <w:rsid w:val="006C29BC"/>
  </w:style>
  <w:style w:type="paragraph" w:styleId="TOC4">
    <w:name w:val="toc 4"/>
    <w:basedOn w:val="Normal"/>
    <w:next w:val="Normal"/>
    <w:autoRedefine/>
    <w:semiHidden/>
    <w:rsid w:val="00A81E06"/>
    <w:rPr>
      <w:sz w:val="16"/>
    </w:rPr>
  </w:style>
  <w:style w:type="paragraph" w:styleId="ListBullet">
    <w:name w:val="List Bullet"/>
    <w:basedOn w:val="Normal"/>
    <w:rsid w:val="00A81E06"/>
    <w:pPr>
      <w:numPr>
        <w:numId w:val="1"/>
      </w:numPr>
    </w:pPr>
    <w:rPr>
      <w:rFonts w:ascii="Arial" w:hAnsi="Arial"/>
      <w:sz w:val="24"/>
    </w:rPr>
  </w:style>
  <w:style w:type="paragraph" w:customStyle="1" w:styleId="ListBulletDouble">
    <w:name w:val="List Bullet Double"/>
    <w:basedOn w:val="ListBullet"/>
    <w:rsid w:val="00A81E06"/>
    <w:pPr>
      <w:numPr>
        <w:numId w:val="2"/>
      </w:numPr>
      <w:spacing w:line="480" w:lineRule="auto"/>
    </w:pPr>
  </w:style>
  <w:style w:type="paragraph" w:styleId="BalloonText">
    <w:name w:val="Balloon Text"/>
    <w:basedOn w:val="Normal"/>
    <w:semiHidden/>
    <w:rsid w:val="003F61F2"/>
    <w:rPr>
      <w:rFonts w:ascii="Tahoma" w:hAnsi="Tahoma" w:cs="Tahoma"/>
      <w:sz w:val="16"/>
      <w:szCs w:val="16"/>
    </w:rPr>
  </w:style>
  <w:style w:type="character" w:styleId="FollowedHyperlink">
    <w:name w:val="FollowedHyperlink"/>
    <w:basedOn w:val="DefaultParagraphFont"/>
    <w:rsid w:val="00E16374"/>
    <w:rPr>
      <w:color w:val="800080"/>
      <w:u w:val="single"/>
    </w:rPr>
  </w:style>
  <w:style w:type="paragraph" w:styleId="ListParagraph">
    <w:name w:val="List Paragraph"/>
    <w:basedOn w:val="Normal"/>
    <w:uiPriority w:val="34"/>
    <w:qFormat/>
    <w:rsid w:val="00F20DA8"/>
    <w:pPr>
      <w:ind w:left="720"/>
      <w:contextualSpacing/>
    </w:pPr>
  </w:style>
  <w:style w:type="table" w:styleId="TableGrid">
    <w:name w:val="Table Grid"/>
    <w:basedOn w:val="TableNormal"/>
    <w:rsid w:val="00CE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0280"/>
    <w:rPr>
      <w:color w:val="808080"/>
    </w:rPr>
  </w:style>
  <w:style w:type="character" w:styleId="CommentReference">
    <w:name w:val="annotation reference"/>
    <w:basedOn w:val="DefaultParagraphFont"/>
    <w:semiHidden/>
    <w:unhideWhenUsed/>
    <w:rsid w:val="00600DF9"/>
    <w:rPr>
      <w:sz w:val="16"/>
      <w:szCs w:val="16"/>
    </w:rPr>
  </w:style>
  <w:style w:type="paragraph" w:styleId="CommentText">
    <w:name w:val="annotation text"/>
    <w:basedOn w:val="Normal"/>
    <w:link w:val="CommentTextChar"/>
    <w:semiHidden/>
    <w:unhideWhenUsed/>
    <w:rsid w:val="00600DF9"/>
  </w:style>
  <w:style w:type="character" w:customStyle="1" w:styleId="CommentTextChar">
    <w:name w:val="Comment Text Char"/>
    <w:basedOn w:val="DefaultParagraphFont"/>
    <w:link w:val="CommentText"/>
    <w:semiHidden/>
    <w:rsid w:val="00600DF9"/>
  </w:style>
  <w:style w:type="paragraph" w:styleId="CommentSubject">
    <w:name w:val="annotation subject"/>
    <w:basedOn w:val="CommentText"/>
    <w:next w:val="CommentText"/>
    <w:link w:val="CommentSubjectChar"/>
    <w:semiHidden/>
    <w:unhideWhenUsed/>
    <w:rsid w:val="00600DF9"/>
    <w:rPr>
      <w:b/>
      <w:bCs/>
    </w:rPr>
  </w:style>
  <w:style w:type="character" w:customStyle="1" w:styleId="CommentSubjectChar">
    <w:name w:val="Comment Subject Char"/>
    <w:basedOn w:val="CommentTextChar"/>
    <w:link w:val="CommentSubject"/>
    <w:semiHidden/>
    <w:rsid w:val="00600DF9"/>
    <w:rPr>
      <w:b/>
      <w:bCs/>
    </w:rPr>
  </w:style>
  <w:style w:type="table" w:customStyle="1" w:styleId="TableGrid2">
    <w:name w:val="Table Grid2"/>
    <w:basedOn w:val="TableNormal"/>
    <w:next w:val="TableGrid"/>
    <w:rsid w:val="007A6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2000">
      <w:bodyDiv w:val="1"/>
      <w:marLeft w:val="0"/>
      <w:marRight w:val="0"/>
      <w:marTop w:val="0"/>
      <w:marBottom w:val="0"/>
      <w:divBdr>
        <w:top w:val="none" w:sz="0" w:space="0" w:color="auto"/>
        <w:left w:val="none" w:sz="0" w:space="0" w:color="auto"/>
        <w:bottom w:val="none" w:sz="0" w:space="0" w:color="auto"/>
        <w:right w:val="none" w:sz="0" w:space="0" w:color="auto"/>
      </w:divBdr>
    </w:div>
    <w:div w:id="407460972">
      <w:bodyDiv w:val="1"/>
      <w:marLeft w:val="0"/>
      <w:marRight w:val="0"/>
      <w:marTop w:val="0"/>
      <w:marBottom w:val="0"/>
      <w:divBdr>
        <w:top w:val="none" w:sz="0" w:space="0" w:color="auto"/>
        <w:left w:val="none" w:sz="0" w:space="0" w:color="auto"/>
        <w:bottom w:val="none" w:sz="0" w:space="0" w:color="auto"/>
        <w:right w:val="none" w:sz="0" w:space="0" w:color="auto"/>
      </w:divBdr>
    </w:div>
    <w:div w:id="12459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aboard.org/reports.htm" TargetMode="External"/><Relationship Id="rId18" Type="http://schemas.openxmlformats.org/officeDocument/2006/relationships/hyperlink" Target="mailto:jason.withers@vbpd.virgini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vaboard.org/grants.htm%23support" TargetMode="External"/><Relationship Id="rId2" Type="http://schemas.openxmlformats.org/officeDocument/2006/relationships/customXml" Target="../customXml/item2.xml"/><Relationship Id="rId16" Type="http://schemas.openxmlformats.org/officeDocument/2006/relationships/hyperlink" Target="http://www.vaboard.org/boardmeeting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aboard.org/reports.htm" TargetMode="Externa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itacchelp.org/federal-reporting-resources/dd-council-performance-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NKAHMF2WWKTP-399312027-1911</_dlc_DocId>
    <_dlc_DocIdUrl xmlns="89461f00-0b74-46d7-ba90-7a84aa4e2ee4">
      <Url>https://sharepoint.wwrc.net/VBPDdocs/_layouts/15/DocIdRedir.aspx?ID=NKAHMF2WWKTP-399312027-1911</Url>
      <Description>NKAHMF2WWKTP-399312027-1911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F0EF4-BB08-4843-B5E1-D9F397D6F9EF}"/>
</file>

<file path=customXml/itemProps2.xml><?xml version="1.0" encoding="utf-8"?>
<ds:datastoreItem xmlns:ds="http://schemas.openxmlformats.org/officeDocument/2006/customXml" ds:itemID="{7EFB5E45-DCE0-4E11-B61E-DB541725936A}"/>
</file>

<file path=customXml/itemProps3.xml><?xml version="1.0" encoding="utf-8"?>
<ds:datastoreItem xmlns:ds="http://schemas.openxmlformats.org/officeDocument/2006/customXml" ds:itemID="{3887824E-5C04-491E-BDBB-2DD295248249}"/>
</file>

<file path=customXml/itemProps4.xml><?xml version="1.0" encoding="utf-8"?>
<ds:datastoreItem xmlns:ds="http://schemas.openxmlformats.org/officeDocument/2006/customXml" ds:itemID="{B42A2376-8DEF-4F50-870A-DCD319815C20}"/>
</file>

<file path=customXml/itemProps5.xml><?xml version="1.0" encoding="utf-8"?>
<ds:datastoreItem xmlns:ds="http://schemas.openxmlformats.org/officeDocument/2006/customXml" ds:itemID="{5ABE294F-8FA3-42D9-8B1F-15BCD51E71B1}"/>
</file>

<file path=customXml/itemProps6.xml><?xml version="1.0" encoding="utf-8"?>
<ds:datastoreItem xmlns:ds="http://schemas.openxmlformats.org/officeDocument/2006/customXml" ds:itemID="{A6C6333C-802B-4A90-A80A-4572C4EFFA1C}"/>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4734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ATTACHMENT ED-EMP 3 ACHIEVEMENTS</vt:lpstr>
    </vt:vector>
  </TitlesOfParts>
  <Company>VBPD</Company>
  <LinksUpToDate>false</LinksUpToDate>
  <CharactersWithSpaces>5471</CharactersWithSpaces>
  <SharedDoc>false</SharedDoc>
  <HLinks>
    <vt:vector size="6" baseType="variant">
      <vt:variant>
        <vt:i4>8061001</vt:i4>
      </vt:variant>
      <vt:variant>
        <vt:i4>0</vt:i4>
      </vt:variant>
      <vt:variant>
        <vt:i4>0</vt:i4>
      </vt:variant>
      <vt:variant>
        <vt:i4>5</vt:i4>
      </vt:variant>
      <vt:variant>
        <vt:lpwstr>mailto:Lynne.Talley@vbpd.virginia.gov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ED-EMP 3 ACHIEVEMENTS</dc:title>
  <dc:subject>ACHIEVEMENT OF THE STATE PLAN OBJECTIVES UNDER THE BOARD’S  EDUCATION AND EMPLOYMENT PRIORITY AREAS</dc:subject>
  <dc:creator>Virginia Board for People with Disabilities</dc:creator>
  <cp:keywords>Virginia Board for People with Disabilities, ATTACHMENT ED-EMP 3 ACHIEVEMENTS, ACHIEVEMENT OF THE STATE PLAN OBJECTIVES UNDER THE BOARD’S EDUCATION AND EMPLOYMENT PRIORITY AREAS, September 2014 Board Meeting</cp:keywords>
  <cp:lastModifiedBy>Withers, Jason (VBPD)</cp:lastModifiedBy>
  <cp:revision>2</cp:revision>
  <cp:lastPrinted>2015-12-07T18:45:00Z</cp:lastPrinted>
  <dcterms:created xsi:type="dcterms:W3CDTF">2019-07-22T20:23:00Z</dcterms:created>
  <dcterms:modified xsi:type="dcterms:W3CDTF">2019-07-22T20:23:00Z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0x0101009A83348A73B2104AA43CA6202EED0D55</vt:lpwstr>
  </property>
  <property fmtid="{D5CDD505-2E9C-101B-9397-08002B2CF9AE}" pid="4" name="_dlc_DocIdItemGuid">
    <vt:lpwstr>9fb5516f-7cf6-493d-bcba-94382511361b</vt:lpwstr>
  </property>
</Properties>
</file>